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DE4" w:rsidRPr="002B6F24" w:rsidRDefault="00EB2DE4" w:rsidP="00EB2DE4">
      <w:pPr>
        <w:rPr>
          <w:b/>
          <w:bCs/>
          <w:sz w:val="28"/>
          <w:szCs w:val="28"/>
        </w:rPr>
      </w:pPr>
      <w:r w:rsidRPr="002B6F24">
        <w:rPr>
          <w:b/>
          <w:bCs/>
          <w:sz w:val="28"/>
          <w:szCs w:val="28"/>
        </w:rPr>
        <w:t xml:space="preserve">ООО «ИНТЕР РАО –   </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2B6F24">
        <w:rPr>
          <w:b/>
          <w:bCs/>
          <w:sz w:val="28"/>
          <w:szCs w:val="28"/>
        </w:rPr>
        <w:t xml:space="preserve">ОАО «ИНТЕР РАО -  </w:t>
      </w:r>
    </w:p>
    <w:p w:rsidR="00EB2DE4" w:rsidRPr="002B6F24" w:rsidRDefault="00EB2DE4" w:rsidP="00EB2DE4">
      <w:pPr>
        <w:rPr>
          <w:b/>
          <w:bCs/>
          <w:sz w:val="28"/>
          <w:szCs w:val="28"/>
        </w:rPr>
      </w:pPr>
      <w:r w:rsidRPr="002B6F24">
        <w:rPr>
          <w:b/>
          <w:bCs/>
          <w:sz w:val="28"/>
          <w:szCs w:val="28"/>
        </w:rPr>
        <w:t xml:space="preserve"> Управление</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2B6F24">
        <w:rPr>
          <w:b/>
          <w:bCs/>
          <w:sz w:val="28"/>
          <w:szCs w:val="28"/>
        </w:rPr>
        <w:t>Электрогенерация»</w:t>
      </w:r>
    </w:p>
    <w:p w:rsidR="00EB2DE4" w:rsidRPr="002B6F24" w:rsidRDefault="00EB2DE4" w:rsidP="00EB2DE4">
      <w:pPr>
        <w:rPr>
          <w:b/>
          <w:bCs/>
          <w:sz w:val="28"/>
          <w:szCs w:val="28"/>
        </w:rPr>
      </w:pPr>
      <w:r w:rsidRPr="002B6F24">
        <w:rPr>
          <w:b/>
          <w:bCs/>
          <w:sz w:val="28"/>
          <w:szCs w:val="28"/>
        </w:rPr>
        <w:t xml:space="preserve">электрогенерацией» </w:t>
      </w:r>
    </w:p>
    <w:p w:rsidR="00EB2DE4" w:rsidRPr="00AA79C7" w:rsidRDefault="00EB2DE4" w:rsidP="00EB2DE4">
      <w:pPr>
        <w:rPr>
          <w:rFonts w:eastAsia="Cambria"/>
          <w:b/>
          <w:sz w:val="28"/>
          <w:szCs w:val="28"/>
          <w:lang w:eastAsia="en-US"/>
        </w:rPr>
      </w:pPr>
    </w:p>
    <w:p w:rsidR="00EB2DE4" w:rsidRPr="00AA79C7" w:rsidRDefault="00EB2DE4" w:rsidP="00EB2DE4">
      <w:pPr>
        <w:jc w:val="center"/>
        <w:rPr>
          <w:rFonts w:eastAsia="Cambria"/>
          <w:b/>
          <w:sz w:val="28"/>
          <w:lang w:eastAsia="en-US"/>
        </w:rPr>
      </w:pPr>
      <w:r w:rsidRPr="00AA79C7">
        <w:rPr>
          <w:rFonts w:eastAsia="Cambria"/>
          <w:b/>
          <w:sz w:val="28"/>
          <w:szCs w:val="28"/>
          <w:lang w:eastAsia="en-US"/>
        </w:rPr>
        <w:t xml:space="preserve">П Р </w:t>
      </w:r>
      <w:r w:rsidRPr="00AA79C7">
        <w:rPr>
          <w:rFonts w:eastAsia="Cambria"/>
          <w:b/>
          <w:sz w:val="28"/>
          <w:lang w:eastAsia="en-US"/>
        </w:rPr>
        <w:t>И К А З</w:t>
      </w:r>
    </w:p>
    <w:p w:rsidR="00EB2DE4" w:rsidRPr="00BE6005" w:rsidRDefault="00EB2DE4" w:rsidP="00EB2DE4">
      <w:pPr>
        <w:ind w:left="567"/>
        <w:rPr>
          <w:rFonts w:eastAsia="Cambria"/>
          <w:sz w:val="28"/>
          <w:lang w:eastAsia="en-US"/>
        </w:rPr>
      </w:pPr>
      <w:r>
        <w:rPr>
          <w:rFonts w:eastAsia="Cambria"/>
          <w:sz w:val="28"/>
          <w:lang w:eastAsia="en-US"/>
        </w:rPr>
        <w:t xml:space="preserve"> </w:t>
      </w:r>
      <w:r>
        <w:rPr>
          <w:rFonts w:eastAsia="Cambria"/>
          <w:sz w:val="28"/>
          <w:lang w:val="en-US" w:eastAsia="en-US"/>
        </w:rPr>
        <w:t>23</w:t>
      </w:r>
      <w:r>
        <w:rPr>
          <w:rFonts w:eastAsia="Cambria"/>
          <w:sz w:val="28"/>
          <w:lang w:eastAsia="en-US"/>
        </w:rPr>
        <w:t>.10.201</w:t>
      </w:r>
      <w:r w:rsidRPr="004E7AD5">
        <w:rPr>
          <w:rFonts w:eastAsia="Cambria"/>
          <w:sz w:val="28"/>
          <w:lang w:eastAsia="en-US"/>
        </w:rPr>
        <w:t>3</w:t>
      </w:r>
      <w:r>
        <w:rPr>
          <w:rFonts w:eastAsia="Cambria"/>
          <w:sz w:val="28"/>
          <w:lang w:eastAsia="en-US"/>
        </w:rPr>
        <w:t xml:space="preserve">                                                          </w:t>
      </w:r>
      <w:r w:rsidRPr="004E7AD5">
        <w:rPr>
          <w:rFonts w:eastAsia="Cambria"/>
          <w:sz w:val="28"/>
          <w:lang w:eastAsia="en-US"/>
        </w:rPr>
        <w:t xml:space="preserve">       </w:t>
      </w:r>
      <w:r>
        <w:rPr>
          <w:rFonts w:eastAsia="Cambria"/>
          <w:sz w:val="28"/>
          <w:lang w:eastAsia="en-US"/>
        </w:rPr>
        <w:t>№ УЭГ/596/ЭГ/507</w:t>
      </w:r>
      <w:r w:rsidRPr="00BE6005">
        <w:rPr>
          <w:rFonts w:eastAsia="Cambria"/>
          <w:sz w:val="28"/>
          <w:lang w:eastAsia="en-US"/>
        </w:rPr>
        <w:t xml:space="preserve"> </w:t>
      </w:r>
    </w:p>
    <w:p w:rsidR="00EB2DE4" w:rsidRPr="00AA79C7" w:rsidRDefault="00EB2DE4" w:rsidP="00EB2DE4">
      <w:pPr>
        <w:tabs>
          <w:tab w:val="center" w:pos="4960"/>
        </w:tabs>
        <w:rPr>
          <w:rFonts w:eastAsia="Cambria"/>
          <w:sz w:val="28"/>
          <w:lang w:eastAsia="en-US"/>
        </w:rPr>
      </w:pPr>
      <w:r w:rsidRPr="00AA79C7">
        <w:rPr>
          <w:rFonts w:eastAsia="Cambria"/>
          <w:sz w:val="28"/>
          <w:lang w:eastAsia="en-US"/>
        </w:rPr>
        <w:tab/>
        <w:t>Москва</w:t>
      </w:r>
    </w:p>
    <w:p w:rsidR="00EB2DE4" w:rsidRPr="00AA79C7" w:rsidRDefault="00EB2DE4" w:rsidP="00EB2DE4">
      <w:pPr>
        <w:jc w:val="center"/>
        <w:rPr>
          <w:rFonts w:eastAsia="Cambria"/>
          <w:sz w:val="28"/>
          <w:lang w:eastAsia="en-US"/>
        </w:rPr>
      </w:pPr>
    </w:p>
    <w:p w:rsidR="00EB2DE4" w:rsidRPr="004E7AD5" w:rsidRDefault="00EB2DE4" w:rsidP="00EB2DE4">
      <w:pPr>
        <w:jc w:val="center"/>
        <w:rPr>
          <w:sz w:val="28"/>
          <w:szCs w:val="28"/>
        </w:rPr>
      </w:pPr>
      <w:r w:rsidRPr="004E7AD5">
        <w:rPr>
          <w:sz w:val="28"/>
          <w:szCs w:val="28"/>
        </w:rPr>
        <w:t>Об утверждении Методики проведения</w:t>
      </w:r>
      <w:r>
        <w:rPr>
          <w:sz w:val="28"/>
          <w:szCs w:val="28"/>
        </w:rPr>
        <w:t xml:space="preserve"> </w:t>
      </w:r>
      <w:r w:rsidRPr="004E7AD5">
        <w:rPr>
          <w:sz w:val="28"/>
          <w:szCs w:val="28"/>
        </w:rPr>
        <w:t xml:space="preserve">экспертизы финансово-экономической </w:t>
      </w:r>
    </w:p>
    <w:p w:rsidR="00EB2DE4" w:rsidRDefault="00EB2DE4" w:rsidP="00EB2DE4">
      <w:pPr>
        <w:jc w:val="center"/>
        <w:rPr>
          <w:sz w:val="28"/>
          <w:szCs w:val="28"/>
        </w:rPr>
      </w:pPr>
      <w:r w:rsidRPr="004E7AD5">
        <w:rPr>
          <w:sz w:val="28"/>
          <w:szCs w:val="28"/>
        </w:rPr>
        <w:t>устойчивости участников закупочных процедур</w:t>
      </w:r>
      <w:r>
        <w:rPr>
          <w:sz w:val="28"/>
          <w:szCs w:val="28"/>
        </w:rPr>
        <w:t xml:space="preserve"> бизнес-дивизиона «Электрогенерация»</w:t>
      </w:r>
    </w:p>
    <w:p w:rsidR="00EB2DE4" w:rsidRPr="00AA79C7" w:rsidRDefault="00EB2DE4" w:rsidP="00EB2DE4">
      <w:pPr>
        <w:jc w:val="center"/>
        <w:rPr>
          <w:rFonts w:eastAsia="Cambria"/>
          <w:sz w:val="28"/>
          <w:szCs w:val="28"/>
          <w:lang w:eastAsia="en-US"/>
        </w:rPr>
      </w:pPr>
      <w:r w:rsidRPr="00AA79C7">
        <w:rPr>
          <w:rFonts w:eastAsia="Cambria"/>
          <w:sz w:val="28"/>
          <w:szCs w:val="28"/>
          <w:lang w:eastAsia="en-US"/>
        </w:rPr>
        <w:t xml:space="preserve"> </w:t>
      </w:r>
    </w:p>
    <w:p w:rsidR="00EB2DE4" w:rsidRDefault="00EB2DE4" w:rsidP="00EB2DE4">
      <w:pPr>
        <w:ind w:firstLine="709"/>
        <w:jc w:val="both"/>
        <w:rPr>
          <w:sz w:val="28"/>
          <w:szCs w:val="28"/>
        </w:rPr>
      </w:pPr>
      <w:r w:rsidRPr="00EB5DE9">
        <w:rPr>
          <w:sz w:val="28"/>
          <w:szCs w:val="28"/>
        </w:rPr>
        <w:t>В целях организации и стандартизации работ по проведению экспертизы финансово-экономической устойчивости участников закупочных процедур, проводимой в рамках закупочной деяте</w:t>
      </w:r>
      <w:bookmarkStart w:id="0" w:name="_GoBack"/>
      <w:bookmarkEnd w:id="0"/>
      <w:r w:rsidRPr="00EB5DE9">
        <w:rPr>
          <w:sz w:val="28"/>
          <w:szCs w:val="28"/>
        </w:rPr>
        <w:t>льности</w:t>
      </w:r>
      <w:r w:rsidRPr="004E7AD5">
        <w:rPr>
          <w:sz w:val="28"/>
          <w:szCs w:val="28"/>
        </w:rPr>
        <w:t xml:space="preserve"> </w:t>
      </w:r>
      <w:r>
        <w:rPr>
          <w:sz w:val="28"/>
          <w:szCs w:val="28"/>
        </w:rPr>
        <w:t>бизнес-дивизиона «Электрогенерация»,</w:t>
      </w:r>
      <w:r w:rsidRPr="00AF6C73">
        <w:rPr>
          <w:sz w:val="28"/>
          <w:szCs w:val="28"/>
        </w:rPr>
        <w:t xml:space="preserve"> </w:t>
      </w:r>
      <w:r w:rsidRPr="0099517E">
        <w:rPr>
          <w:sz w:val="28"/>
          <w:szCs w:val="28"/>
        </w:rPr>
        <w:t>в соответствии с корпоративным стандартом «</w:t>
      </w:r>
      <w:r w:rsidRPr="004E7AD5">
        <w:rPr>
          <w:sz w:val="28"/>
          <w:szCs w:val="28"/>
        </w:rPr>
        <w:t>Методик</w:t>
      </w:r>
      <w:r>
        <w:rPr>
          <w:sz w:val="28"/>
          <w:szCs w:val="28"/>
        </w:rPr>
        <w:t>а</w:t>
      </w:r>
      <w:r w:rsidRPr="004E7AD5">
        <w:rPr>
          <w:sz w:val="28"/>
          <w:szCs w:val="28"/>
        </w:rPr>
        <w:t xml:space="preserve"> проведения</w:t>
      </w:r>
      <w:r>
        <w:rPr>
          <w:sz w:val="28"/>
          <w:szCs w:val="28"/>
        </w:rPr>
        <w:t xml:space="preserve"> </w:t>
      </w:r>
      <w:r w:rsidRPr="004E7AD5">
        <w:rPr>
          <w:sz w:val="28"/>
          <w:szCs w:val="28"/>
        </w:rPr>
        <w:t>экспертизы финансово-экономической устойчивости участников закупочных процедур</w:t>
      </w:r>
      <w:r w:rsidRPr="0099517E">
        <w:rPr>
          <w:sz w:val="28"/>
          <w:szCs w:val="28"/>
          <w:lang w:eastAsia="en-US"/>
        </w:rPr>
        <w:t xml:space="preserve">», утвержденным приказом от </w:t>
      </w:r>
      <w:r>
        <w:rPr>
          <w:rFonts w:eastAsia="Cambria"/>
          <w:sz w:val="28"/>
          <w:szCs w:val="28"/>
          <w:lang w:eastAsia="en-US"/>
        </w:rPr>
        <w:t xml:space="preserve">01.10.2013 </w:t>
      </w:r>
      <w:r w:rsidRPr="0099517E">
        <w:rPr>
          <w:sz w:val="28"/>
          <w:szCs w:val="28"/>
          <w:lang w:eastAsia="en-US"/>
        </w:rPr>
        <w:t>№</w:t>
      </w:r>
      <w:r w:rsidRPr="001379CE">
        <w:rPr>
          <w:sz w:val="28"/>
          <w:szCs w:val="28"/>
          <w:lang w:eastAsia="en-US"/>
        </w:rPr>
        <w:t xml:space="preserve"> </w:t>
      </w:r>
      <w:r>
        <w:rPr>
          <w:rFonts w:eastAsia="Cambria"/>
          <w:sz w:val="28"/>
          <w:szCs w:val="28"/>
          <w:lang w:eastAsia="en-US"/>
        </w:rPr>
        <w:t>ИРАО/572</w:t>
      </w:r>
    </w:p>
    <w:p w:rsidR="00EB2DE4" w:rsidRPr="00AA79C7" w:rsidRDefault="00EB2DE4" w:rsidP="00EB2DE4">
      <w:pPr>
        <w:jc w:val="both"/>
        <w:rPr>
          <w:rFonts w:eastAsia="Cambria"/>
          <w:sz w:val="28"/>
          <w:szCs w:val="28"/>
          <w:lang w:eastAsia="en-US"/>
        </w:rPr>
      </w:pPr>
    </w:p>
    <w:p w:rsidR="00EB2DE4" w:rsidRPr="00AA79C7" w:rsidRDefault="00EB2DE4" w:rsidP="00EB2DE4">
      <w:pPr>
        <w:rPr>
          <w:rFonts w:eastAsia="Cambria"/>
          <w:b/>
          <w:sz w:val="28"/>
          <w:szCs w:val="28"/>
          <w:lang w:eastAsia="en-US"/>
        </w:rPr>
      </w:pPr>
      <w:r w:rsidRPr="00AA79C7">
        <w:rPr>
          <w:rFonts w:eastAsia="Cambria"/>
          <w:b/>
          <w:sz w:val="28"/>
          <w:szCs w:val="28"/>
          <w:lang w:eastAsia="en-US"/>
        </w:rPr>
        <w:t>ПРИКАЗЫВАЮ:</w:t>
      </w:r>
    </w:p>
    <w:p w:rsidR="00EB2DE4" w:rsidRPr="00AA79C7" w:rsidRDefault="00EB2DE4" w:rsidP="00EB2DE4">
      <w:pPr>
        <w:rPr>
          <w:rFonts w:eastAsia="Cambria"/>
          <w:sz w:val="28"/>
          <w:szCs w:val="28"/>
          <w:lang w:eastAsia="en-US"/>
        </w:rPr>
      </w:pPr>
    </w:p>
    <w:p w:rsidR="00EB2DE4" w:rsidRPr="006A57A1" w:rsidRDefault="00EB2DE4" w:rsidP="00EB2DE4">
      <w:pPr>
        <w:numPr>
          <w:ilvl w:val="0"/>
          <w:numId w:val="20"/>
        </w:numPr>
        <w:tabs>
          <w:tab w:val="left" w:pos="1134"/>
        </w:tabs>
        <w:ind w:left="0" w:firstLine="709"/>
        <w:jc w:val="both"/>
        <w:rPr>
          <w:sz w:val="28"/>
          <w:szCs w:val="28"/>
        </w:rPr>
      </w:pPr>
      <w:r w:rsidRPr="002F634A">
        <w:rPr>
          <w:rFonts w:eastAsia="Cambria"/>
          <w:sz w:val="28"/>
          <w:lang w:eastAsia="en-US"/>
        </w:rPr>
        <w:t>У</w:t>
      </w:r>
      <w:r w:rsidRPr="002F634A">
        <w:rPr>
          <w:sz w:val="28"/>
          <w:szCs w:val="28"/>
        </w:rPr>
        <w:t xml:space="preserve">твердить Методику проведения экспертизы финансово-экономической </w:t>
      </w:r>
      <w:r>
        <w:rPr>
          <w:sz w:val="28"/>
          <w:szCs w:val="28"/>
        </w:rPr>
        <w:t xml:space="preserve"> </w:t>
      </w:r>
      <w:r w:rsidRPr="002F634A">
        <w:rPr>
          <w:sz w:val="28"/>
          <w:szCs w:val="28"/>
        </w:rPr>
        <w:t xml:space="preserve">устойчивости участников закупочных процедур бизнес-дивизиона «Электрогенерация» </w:t>
      </w:r>
      <w:r>
        <w:rPr>
          <w:sz w:val="28"/>
          <w:szCs w:val="28"/>
        </w:rPr>
        <w:t xml:space="preserve">(далее – Методика) </w:t>
      </w:r>
      <w:r w:rsidRPr="002F634A">
        <w:rPr>
          <w:sz w:val="28"/>
          <w:szCs w:val="28"/>
        </w:rPr>
        <w:t>согласно приложению к приказу</w:t>
      </w:r>
      <w:r>
        <w:rPr>
          <w:sz w:val="28"/>
          <w:szCs w:val="28"/>
        </w:rPr>
        <w:t>.</w:t>
      </w:r>
      <w:r w:rsidRPr="002F634A">
        <w:rPr>
          <w:sz w:val="28"/>
          <w:szCs w:val="28"/>
        </w:rPr>
        <w:t xml:space="preserve"> </w:t>
      </w:r>
    </w:p>
    <w:p w:rsidR="00EB2DE4" w:rsidRPr="006A57A1" w:rsidRDefault="00EB2DE4" w:rsidP="00EB2DE4">
      <w:pPr>
        <w:numPr>
          <w:ilvl w:val="0"/>
          <w:numId w:val="20"/>
        </w:numPr>
        <w:tabs>
          <w:tab w:val="left" w:pos="1134"/>
        </w:tabs>
        <w:ind w:left="0" w:firstLine="709"/>
        <w:jc w:val="both"/>
        <w:rPr>
          <w:sz w:val="28"/>
          <w:szCs w:val="28"/>
        </w:rPr>
      </w:pPr>
      <w:r w:rsidRPr="006A57A1">
        <w:rPr>
          <w:sz w:val="28"/>
          <w:szCs w:val="28"/>
        </w:rPr>
        <w:t xml:space="preserve">Отменить действие предыдущей </w:t>
      </w:r>
      <w:r>
        <w:rPr>
          <w:sz w:val="28"/>
          <w:szCs w:val="28"/>
        </w:rPr>
        <w:t>версии</w:t>
      </w:r>
      <w:r w:rsidRPr="006A57A1">
        <w:rPr>
          <w:sz w:val="28"/>
          <w:szCs w:val="28"/>
        </w:rPr>
        <w:t xml:space="preserve"> Методики проведения экспертизы финансово-экономической устойчивости участников закупочных процедур, утвержденной приказом от</w:t>
      </w:r>
      <w:r>
        <w:rPr>
          <w:sz w:val="28"/>
          <w:szCs w:val="28"/>
        </w:rPr>
        <w:t xml:space="preserve"> 08.10.2012</w:t>
      </w:r>
      <w:r w:rsidRPr="006A57A1">
        <w:rPr>
          <w:sz w:val="28"/>
          <w:szCs w:val="28"/>
        </w:rPr>
        <w:t xml:space="preserve"> </w:t>
      </w:r>
      <w:r>
        <w:rPr>
          <w:sz w:val="28"/>
          <w:szCs w:val="28"/>
        </w:rPr>
        <w:t>№ УЭГ/436/ЭГ/294</w:t>
      </w:r>
      <w:r w:rsidRPr="006A57A1">
        <w:rPr>
          <w:sz w:val="28"/>
          <w:szCs w:val="28"/>
        </w:rPr>
        <w:t>.</w:t>
      </w:r>
    </w:p>
    <w:p w:rsidR="00EB2DE4" w:rsidRDefault="00EB2DE4" w:rsidP="00EB2DE4">
      <w:pPr>
        <w:numPr>
          <w:ilvl w:val="0"/>
          <w:numId w:val="20"/>
        </w:numPr>
        <w:tabs>
          <w:tab w:val="left" w:pos="1134"/>
        </w:tabs>
        <w:ind w:left="0" w:firstLine="709"/>
        <w:jc w:val="both"/>
        <w:rPr>
          <w:sz w:val="28"/>
          <w:szCs w:val="28"/>
        </w:rPr>
      </w:pPr>
      <w:r w:rsidRPr="006A57A1">
        <w:rPr>
          <w:rFonts w:eastAsia="Cambria"/>
          <w:sz w:val="28"/>
          <w:lang w:eastAsia="en-US"/>
        </w:rPr>
        <w:t>Директорам</w:t>
      </w:r>
      <w:r w:rsidRPr="006A57A1">
        <w:rPr>
          <w:sz w:val="28"/>
          <w:szCs w:val="28"/>
        </w:rPr>
        <w:t xml:space="preserve"> филиалов Управляемых обществ обеспечить отмену локальных нормативных актов, противоречащих Методике.</w:t>
      </w:r>
    </w:p>
    <w:p w:rsidR="00EB2DE4" w:rsidRDefault="00EB2DE4" w:rsidP="00EB2DE4">
      <w:pPr>
        <w:ind w:firstLine="720"/>
        <w:jc w:val="both"/>
        <w:rPr>
          <w:sz w:val="28"/>
          <w:szCs w:val="28"/>
        </w:rPr>
      </w:pPr>
      <w:r>
        <w:rPr>
          <w:sz w:val="28"/>
          <w:szCs w:val="28"/>
        </w:rPr>
        <w:t>Срок – в течение 15 рабочих дней с даты утверждения настоящего приказа.</w:t>
      </w:r>
    </w:p>
    <w:p w:rsidR="00EB2DE4" w:rsidRPr="002F634A" w:rsidRDefault="00EB2DE4" w:rsidP="00EB2DE4">
      <w:pPr>
        <w:numPr>
          <w:ilvl w:val="0"/>
          <w:numId w:val="20"/>
        </w:numPr>
        <w:tabs>
          <w:tab w:val="left" w:pos="1134"/>
        </w:tabs>
        <w:ind w:left="0" w:firstLine="709"/>
        <w:jc w:val="both"/>
        <w:rPr>
          <w:rFonts w:eastAsia="Cambria"/>
          <w:sz w:val="28"/>
          <w:szCs w:val="28"/>
          <w:lang w:eastAsia="en-US"/>
        </w:rPr>
      </w:pPr>
      <w:r w:rsidRPr="002F634A">
        <w:rPr>
          <w:rFonts w:eastAsia="Cambria"/>
          <w:sz w:val="28"/>
          <w:szCs w:val="28"/>
          <w:lang w:eastAsia="en-US"/>
        </w:rPr>
        <w:t xml:space="preserve">Заместителям Генерального директора, директорам прямого подчинения, начальникам управлений прямого подчинения, директорам филиалов Управляемых обществ довести </w:t>
      </w:r>
      <w:r>
        <w:rPr>
          <w:rFonts w:eastAsia="Cambria"/>
          <w:sz w:val="28"/>
          <w:szCs w:val="28"/>
          <w:lang w:eastAsia="en-US"/>
        </w:rPr>
        <w:t>Методику</w:t>
      </w:r>
      <w:r w:rsidRPr="002F634A">
        <w:rPr>
          <w:rFonts w:eastAsia="Cambria"/>
          <w:sz w:val="28"/>
          <w:szCs w:val="28"/>
          <w:lang w:eastAsia="en-US"/>
        </w:rPr>
        <w:t xml:space="preserve"> до работников подчиненных структурных подразделений и обеспечить е</w:t>
      </w:r>
      <w:r>
        <w:rPr>
          <w:rFonts w:eastAsia="Cambria"/>
          <w:sz w:val="28"/>
          <w:szCs w:val="28"/>
          <w:lang w:eastAsia="en-US"/>
        </w:rPr>
        <w:t>е</w:t>
      </w:r>
      <w:r w:rsidRPr="002F634A">
        <w:rPr>
          <w:rFonts w:eastAsia="Cambria"/>
          <w:sz w:val="28"/>
          <w:szCs w:val="28"/>
          <w:lang w:eastAsia="en-US"/>
        </w:rPr>
        <w:t xml:space="preserve"> соблюдение.</w:t>
      </w:r>
    </w:p>
    <w:p w:rsidR="00EB2DE4" w:rsidRPr="002F634A" w:rsidRDefault="00EB2DE4" w:rsidP="00EB2DE4">
      <w:pPr>
        <w:numPr>
          <w:ilvl w:val="0"/>
          <w:numId w:val="20"/>
        </w:numPr>
        <w:tabs>
          <w:tab w:val="left" w:pos="1134"/>
        </w:tabs>
        <w:ind w:left="0" w:firstLine="709"/>
        <w:jc w:val="both"/>
        <w:rPr>
          <w:rFonts w:eastAsia="Cambria"/>
          <w:sz w:val="28"/>
          <w:szCs w:val="28"/>
          <w:lang w:eastAsia="en-US"/>
        </w:rPr>
      </w:pPr>
      <w:r w:rsidRPr="002F634A">
        <w:rPr>
          <w:rFonts w:eastAsia="Cambria"/>
          <w:sz w:val="28"/>
          <w:szCs w:val="28"/>
          <w:lang w:eastAsia="en-US"/>
        </w:rPr>
        <w:t>Контроль за исполнением приказа оставляю за собой.</w:t>
      </w:r>
    </w:p>
    <w:p w:rsidR="00EB2DE4" w:rsidRDefault="00EB2DE4" w:rsidP="00EB2DE4">
      <w:pPr>
        <w:jc w:val="both"/>
        <w:rPr>
          <w:rFonts w:eastAsia="Cambria"/>
          <w:sz w:val="28"/>
          <w:szCs w:val="28"/>
          <w:lang w:eastAsia="en-US"/>
        </w:rPr>
      </w:pPr>
    </w:p>
    <w:p w:rsidR="00EB2DE4" w:rsidRPr="00403848" w:rsidRDefault="00EB2DE4" w:rsidP="00EB2DE4">
      <w:pPr>
        <w:keepLines/>
        <w:widowControl w:val="0"/>
        <w:shd w:val="clear" w:color="auto" w:fill="FFFFFF"/>
        <w:autoSpaceDE w:val="0"/>
        <w:autoSpaceDN w:val="0"/>
        <w:adjustRightInd w:val="0"/>
        <w:jc w:val="both"/>
        <w:rPr>
          <w:sz w:val="28"/>
          <w:szCs w:val="28"/>
        </w:rPr>
      </w:pPr>
      <w:r w:rsidRPr="00403848">
        <w:rPr>
          <w:sz w:val="28"/>
          <w:szCs w:val="28"/>
        </w:rPr>
        <w:t xml:space="preserve">Генеральный директор ООО «ИНТЕР РАО – </w:t>
      </w:r>
    </w:p>
    <w:p w:rsidR="00EB2DE4" w:rsidRPr="00403848" w:rsidRDefault="00EB2DE4" w:rsidP="00EB2DE4">
      <w:pPr>
        <w:keepLines/>
        <w:widowControl w:val="0"/>
        <w:shd w:val="clear" w:color="auto" w:fill="FFFFFF"/>
        <w:autoSpaceDE w:val="0"/>
        <w:autoSpaceDN w:val="0"/>
        <w:adjustRightInd w:val="0"/>
        <w:jc w:val="both"/>
        <w:rPr>
          <w:sz w:val="28"/>
          <w:szCs w:val="28"/>
        </w:rPr>
      </w:pPr>
      <w:r w:rsidRPr="00403848">
        <w:rPr>
          <w:sz w:val="28"/>
          <w:szCs w:val="28"/>
        </w:rPr>
        <w:t xml:space="preserve">Управление электрогенерацией», </w:t>
      </w:r>
    </w:p>
    <w:p w:rsidR="00EB2DE4" w:rsidRPr="00403848" w:rsidRDefault="00EB2DE4" w:rsidP="00EB2DE4">
      <w:pPr>
        <w:keepLines/>
        <w:widowControl w:val="0"/>
        <w:shd w:val="clear" w:color="auto" w:fill="FFFFFF"/>
        <w:autoSpaceDE w:val="0"/>
        <w:autoSpaceDN w:val="0"/>
        <w:adjustRightInd w:val="0"/>
        <w:jc w:val="both"/>
        <w:rPr>
          <w:sz w:val="28"/>
          <w:szCs w:val="28"/>
        </w:rPr>
      </w:pPr>
      <w:r w:rsidRPr="00403848">
        <w:rPr>
          <w:sz w:val="28"/>
          <w:szCs w:val="28"/>
        </w:rPr>
        <w:t>управляющей организаци</w:t>
      </w:r>
      <w:r>
        <w:rPr>
          <w:sz w:val="28"/>
          <w:szCs w:val="28"/>
        </w:rPr>
        <w:t>и</w:t>
      </w:r>
      <w:r w:rsidRPr="00403848">
        <w:rPr>
          <w:sz w:val="28"/>
          <w:szCs w:val="28"/>
        </w:rPr>
        <w:t xml:space="preserve"> </w:t>
      </w:r>
    </w:p>
    <w:p w:rsidR="00EB2DE4" w:rsidRPr="00403848" w:rsidRDefault="00EB2DE4" w:rsidP="00EB2DE4">
      <w:pPr>
        <w:keepLines/>
        <w:widowControl w:val="0"/>
        <w:shd w:val="clear" w:color="auto" w:fill="FFFFFF"/>
        <w:autoSpaceDE w:val="0"/>
        <w:autoSpaceDN w:val="0"/>
        <w:adjustRightInd w:val="0"/>
        <w:jc w:val="both"/>
        <w:rPr>
          <w:sz w:val="28"/>
          <w:szCs w:val="28"/>
        </w:rPr>
      </w:pPr>
      <w:r w:rsidRPr="00403848">
        <w:rPr>
          <w:sz w:val="28"/>
          <w:szCs w:val="28"/>
        </w:rPr>
        <w:t>ОАО «ИНТЕР РАО –</w:t>
      </w:r>
      <w:r>
        <w:rPr>
          <w:sz w:val="28"/>
          <w:szCs w:val="28"/>
        </w:rPr>
        <w:t xml:space="preserve"> </w:t>
      </w:r>
      <w:r w:rsidRPr="00403848">
        <w:rPr>
          <w:sz w:val="28"/>
          <w:szCs w:val="28"/>
        </w:rPr>
        <w:t>Электрогенерация»</w:t>
      </w:r>
      <w:r w:rsidRPr="00403848">
        <w:rPr>
          <w:sz w:val="28"/>
          <w:szCs w:val="28"/>
        </w:rPr>
        <w:tab/>
      </w:r>
      <w:r>
        <w:rPr>
          <w:sz w:val="28"/>
          <w:szCs w:val="28"/>
        </w:rPr>
        <w:tab/>
      </w:r>
      <w:r w:rsidRPr="00403848">
        <w:rPr>
          <w:sz w:val="28"/>
          <w:szCs w:val="28"/>
        </w:rPr>
        <w:tab/>
      </w:r>
      <w:r w:rsidRPr="00403848">
        <w:rPr>
          <w:sz w:val="28"/>
          <w:szCs w:val="28"/>
        </w:rPr>
        <w:tab/>
      </w:r>
      <w:r>
        <w:rPr>
          <w:sz w:val="28"/>
          <w:szCs w:val="28"/>
        </w:rPr>
        <w:t xml:space="preserve">         </w:t>
      </w:r>
      <w:r>
        <w:rPr>
          <w:sz w:val="28"/>
          <w:szCs w:val="28"/>
        </w:rPr>
        <w:tab/>
        <w:t xml:space="preserve">        </w:t>
      </w:r>
      <w:r>
        <w:rPr>
          <w:sz w:val="28"/>
          <w:szCs w:val="28"/>
        </w:rPr>
        <w:tab/>
      </w:r>
      <w:r>
        <w:rPr>
          <w:sz w:val="28"/>
          <w:szCs w:val="28"/>
        </w:rPr>
        <w:tab/>
      </w:r>
      <w:r w:rsidRPr="00015895">
        <w:rPr>
          <w:sz w:val="28"/>
          <w:szCs w:val="28"/>
        </w:rPr>
        <w:t xml:space="preserve">  </w:t>
      </w:r>
      <w:r w:rsidRPr="00403848">
        <w:rPr>
          <w:sz w:val="28"/>
          <w:szCs w:val="28"/>
        </w:rPr>
        <w:t>Г.Ф.</w:t>
      </w:r>
      <w:r>
        <w:rPr>
          <w:sz w:val="28"/>
          <w:szCs w:val="28"/>
        </w:rPr>
        <w:t xml:space="preserve"> </w:t>
      </w:r>
      <w:r w:rsidRPr="00403848">
        <w:rPr>
          <w:sz w:val="28"/>
          <w:szCs w:val="28"/>
        </w:rPr>
        <w:t>Бинько</w:t>
      </w:r>
    </w:p>
    <w:p w:rsidR="00EB2DE4" w:rsidRDefault="00EB2DE4" w:rsidP="00EB2DE4">
      <w:pPr>
        <w:jc w:val="both"/>
        <w:rPr>
          <w:rFonts w:eastAsia="Cambria"/>
          <w:lang w:eastAsia="en-US"/>
        </w:rPr>
      </w:pPr>
    </w:p>
    <w:p w:rsidR="00EB2DE4" w:rsidRDefault="00EB2DE4" w:rsidP="00EB2DE4">
      <w:pPr>
        <w:jc w:val="both"/>
        <w:rPr>
          <w:rFonts w:eastAsia="Cambria"/>
          <w:lang w:eastAsia="en-US"/>
        </w:rPr>
      </w:pPr>
      <w:r w:rsidRPr="00AA79C7">
        <w:rPr>
          <w:rFonts w:eastAsia="Cambria"/>
          <w:lang w:eastAsia="en-US"/>
        </w:rPr>
        <w:t xml:space="preserve">Рассылается: работники Общества, </w:t>
      </w:r>
      <w:r>
        <w:rPr>
          <w:rFonts w:eastAsia="Cambria"/>
          <w:lang w:eastAsia="en-US"/>
        </w:rPr>
        <w:t xml:space="preserve">филиалы </w:t>
      </w:r>
      <w:r w:rsidRPr="00AA79C7">
        <w:rPr>
          <w:rFonts w:eastAsia="Cambria"/>
          <w:lang w:eastAsia="en-US"/>
        </w:rPr>
        <w:t>ОАО «ИНТЕР РАО – Электрогенерация»</w:t>
      </w:r>
    </w:p>
    <w:p w:rsidR="00EB2DE4" w:rsidRDefault="00EB2DE4" w:rsidP="00EB2DE4">
      <w:pPr>
        <w:jc w:val="both"/>
        <w:rPr>
          <w:sz w:val="28"/>
          <w:szCs w:val="28"/>
        </w:rPr>
      </w:pPr>
      <w:r w:rsidRPr="00A871F0">
        <w:rPr>
          <w:bCs/>
        </w:rPr>
        <w:t>С.А. Ровных</w:t>
      </w:r>
      <w:r>
        <w:rPr>
          <w:bCs/>
        </w:rPr>
        <w:t xml:space="preserve"> </w:t>
      </w:r>
      <w:r w:rsidRPr="00A871F0">
        <w:rPr>
          <w:bCs/>
        </w:rPr>
        <w:t>(495)664-76-80 (2925)</w:t>
      </w:r>
    </w:p>
    <w:p w:rsidR="00EB2DE4" w:rsidRPr="00DB626A" w:rsidRDefault="00EB2DE4" w:rsidP="00EB2DE4">
      <w:pPr>
        <w:rPr>
          <w:sz w:val="26"/>
          <w:szCs w:val="26"/>
          <w:lang w:val="en-US"/>
        </w:rPr>
        <w:sectPr w:rsidR="00EB2DE4" w:rsidRPr="00DB626A" w:rsidSect="006A57A1">
          <w:headerReference w:type="even" r:id="rId12"/>
          <w:footerReference w:type="even" r:id="rId13"/>
          <w:footerReference w:type="default" r:id="rId14"/>
          <w:headerReference w:type="first" r:id="rId15"/>
          <w:pgSz w:w="11906" w:h="16838"/>
          <w:pgMar w:top="1418" w:right="737" w:bottom="851" w:left="1701" w:header="709" w:footer="709" w:gutter="0"/>
          <w:cols w:space="708"/>
          <w:docGrid w:linePitch="360"/>
        </w:sectPr>
      </w:pPr>
    </w:p>
    <w:p w:rsidR="00EB2DE4" w:rsidRPr="00DB626A" w:rsidRDefault="00EB2DE4" w:rsidP="00EB2DE4">
      <w:pPr>
        <w:rPr>
          <w:lang w:val="en-US"/>
        </w:rPr>
      </w:pPr>
    </w:p>
    <w:tbl>
      <w:tblPr>
        <w:tblW w:w="9619" w:type="dxa"/>
        <w:tblLook w:val="0000" w:firstRow="0" w:lastRow="0" w:firstColumn="0" w:lastColumn="0" w:noHBand="0" w:noVBand="0"/>
      </w:tblPr>
      <w:tblGrid>
        <w:gridCol w:w="4219"/>
        <w:gridCol w:w="5400"/>
      </w:tblGrid>
      <w:tr w:rsidR="00EB2DE4" w:rsidRPr="00DA62C2" w:rsidTr="00C162FA">
        <w:tblPrEx>
          <w:tblCellMar>
            <w:top w:w="0" w:type="dxa"/>
            <w:bottom w:w="0" w:type="dxa"/>
          </w:tblCellMar>
        </w:tblPrEx>
        <w:trPr>
          <w:trHeight w:val="1253"/>
        </w:trPr>
        <w:tc>
          <w:tcPr>
            <w:tcW w:w="4219" w:type="dxa"/>
          </w:tcPr>
          <w:p w:rsidR="00EB2DE4" w:rsidRPr="00DA62C2" w:rsidRDefault="00EB2DE4" w:rsidP="00C162FA">
            <w:pPr>
              <w:pStyle w:val="ad"/>
              <w:spacing w:before="60" w:after="60"/>
              <w:rPr>
                <w:rFonts w:ascii="Arial" w:hAnsi="Arial" w:cs="Arial"/>
                <w:b w:val="0"/>
                <w:bCs w:val="0"/>
                <w:sz w:val="24"/>
                <w:szCs w:val="24"/>
              </w:rPr>
            </w:pPr>
          </w:p>
        </w:tc>
        <w:tc>
          <w:tcPr>
            <w:tcW w:w="5400" w:type="dxa"/>
          </w:tcPr>
          <w:p w:rsidR="00EB2DE4" w:rsidRPr="00E1449F" w:rsidRDefault="00EB2DE4" w:rsidP="00EB2DE4">
            <w:pPr>
              <w:pStyle w:val="a4"/>
              <w:spacing w:after="120"/>
              <w:ind w:left="1593"/>
              <w:jc w:val="left"/>
              <w:rPr>
                <w:rFonts w:ascii="Arial" w:hAnsi="Arial" w:cs="Arial"/>
                <w:szCs w:val="28"/>
              </w:rPr>
            </w:pPr>
            <w:r w:rsidRPr="00E1449F">
              <w:rPr>
                <w:rFonts w:ascii="Arial" w:hAnsi="Arial" w:cs="Arial"/>
                <w:szCs w:val="28"/>
              </w:rPr>
              <w:t>Приложение №</w:t>
            </w:r>
            <w:r>
              <w:rPr>
                <w:rFonts w:ascii="Arial" w:hAnsi="Arial" w:cs="Arial"/>
                <w:szCs w:val="28"/>
              </w:rPr>
              <w:t xml:space="preserve"> </w:t>
            </w:r>
            <w:r w:rsidRPr="00E1449F">
              <w:rPr>
                <w:rFonts w:ascii="Arial" w:hAnsi="Arial" w:cs="Arial"/>
                <w:szCs w:val="28"/>
              </w:rPr>
              <w:t xml:space="preserve">1 </w:t>
            </w:r>
          </w:p>
          <w:p w:rsidR="00EB2DE4" w:rsidRPr="00E1449F" w:rsidRDefault="00EB2DE4" w:rsidP="00EB2DE4">
            <w:pPr>
              <w:pStyle w:val="a4"/>
              <w:spacing w:after="120"/>
              <w:ind w:left="1593"/>
              <w:jc w:val="left"/>
              <w:rPr>
                <w:rFonts w:ascii="Arial" w:hAnsi="Arial" w:cs="Arial"/>
                <w:szCs w:val="28"/>
              </w:rPr>
            </w:pPr>
            <w:r w:rsidRPr="00E1449F">
              <w:rPr>
                <w:rFonts w:ascii="Arial" w:hAnsi="Arial" w:cs="Arial"/>
                <w:szCs w:val="28"/>
              </w:rPr>
              <w:t xml:space="preserve">к приказу от </w:t>
            </w:r>
            <w:r>
              <w:rPr>
                <w:rFonts w:ascii="Arial" w:hAnsi="Arial" w:cs="Arial"/>
                <w:szCs w:val="28"/>
              </w:rPr>
              <w:t>23.10.2013</w:t>
            </w:r>
          </w:p>
          <w:p w:rsidR="00EB2DE4" w:rsidRPr="00E1449F" w:rsidRDefault="00EB2DE4" w:rsidP="00EB2DE4">
            <w:pPr>
              <w:pStyle w:val="a4"/>
              <w:spacing w:after="120"/>
              <w:ind w:left="1593"/>
              <w:jc w:val="left"/>
              <w:rPr>
                <w:rFonts w:ascii="Arial" w:hAnsi="Arial" w:cs="Arial"/>
                <w:szCs w:val="28"/>
              </w:rPr>
            </w:pPr>
            <w:r w:rsidRPr="00E1449F">
              <w:rPr>
                <w:rFonts w:ascii="Arial" w:hAnsi="Arial" w:cs="Arial"/>
                <w:szCs w:val="28"/>
              </w:rPr>
              <w:t xml:space="preserve">№ </w:t>
            </w:r>
            <w:r>
              <w:rPr>
                <w:rFonts w:ascii="Arial" w:hAnsi="Arial" w:cs="Arial"/>
                <w:szCs w:val="28"/>
              </w:rPr>
              <w:t>УЭГ/596/ЭГ/507</w:t>
            </w:r>
          </w:p>
          <w:p w:rsidR="00EB2DE4" w:rsidRDefault="00EB2DE4" w:rsidP="00C162FA">
            <w:pPr>
              <w:pStyle w:val="a4"/>
              <w:ind w:left="436"/>
              <w:jc w:val="left"/>
              <w:rPr>
                <w:rFonts w:ascii="Arial" w:hAnsi="Arial" w:cs="Arial"/>
                <w:b w:val="0"/>
                <w:szCs w:val="28"/>
              </w:rPr>
            </w:pPr>
          </w:p>
          <w:p w:rsidR="00EB2DE4" w:rsidRPr="00B81A32" w:rsidRDefault="00EB2DE4" w:rsidP="00C162FA">
            <w:pPr>
              <w:pStyle w:val="a4"/>
              <w:ind w:left="436"/>
              <w:jc w:val="left"/>
              <w:rPr>
                <w:rFonts w:ascii="Arial" w:hAnsi="Arial" w:cs="Arial"/>
                <w:b w:val="0"/>
                <w:szCs w:val="28"/>
              </w:rPr>
            </w:pPr>
          </w:p>
          <w:p w:rsidR="00EB2DE4" w:rsidRPr="00B81A32" w:rsidRDefault="00EB2DE4" w:rsidP="00C162FA">
            <w:pPr>
              <w:pStyle w:val="a4"/>
              <w:ind w:left="436"/>
              <w:jc w:val="left"/>
              <w:rPr>
                <w:rFonts w:ascii="Arial" w:hAnsi="Arial" w:cs="Arial"/>
                <w:b w:val="0"/>
                <w:szCs w:val="28"/>
              </w:rPr>
            </w:pPr>
          </w:p>
          <w:p w:rsidR="00EB2DE4" w:rsidRPr="00DA62C2" w:rsidRDefault="00EB2DE4" w:rsidP="00C162FA">
            <w:pPr>
              <w:pStyle w:val="a4"/>
              <w:spacing w:before="60" w:after="60"/>
              <w:jc w:val="right"/>
              <w:rPr>
                <w:rFonts w:ascii="Arial" w:hAnsi="Arial" w:cs="Arial"/>
                <w:b w:val="0"/>
                <w:sz w:val="24"/>
              </w:rPr>
            </w:pPr>
          </w:p>
        </w:tc>
      </w:tr>
    </w:tbl>
    <w:p w:rsidR="00EB2DE4" w:rsidRPr="00DA62C2" w:rsidRDefault="00EB2DE4" w:rsidP="00EB2DE4">
      <w:pPr>
        <w:spacing w:beforeLines="60" w:before="144" w:afterLines="60" w:after="144"/>
        <w:jc w:val="center"/>
        <w:rPr>
          <w:rFonts w:ascii="Arial" w:hAnsi="Arial" w:cs="Arial"/>
          <w:b/>
          <w:bCs/>
        </w:rPr>
      </w:pPr>
    </w:p>
    <w:p w:rsidR="00EB2DE4" w:rsidRPr="00DA62C2" w:rsidRDefault="00EB2DE4" w:rsidP="00EB2DE4">
      <w:pPr>
        <w:spacing w:beforeLines="60" w:before="144" w:afterLines="60" w:after="144"/>
        <w:jc w:val="center"/>
        <w:rPr>
          <w:rFonts w:ascii="Arial" w:hAnsi="Arial" w:cs="Arial"/>
          <w:b/>
          <w:bCs/>
        </w:rPr>
      </w:pPr>
    </w:p>
    <w:p w:rsidR="00EB2DE4" w:rsidRPr="00DA62C2" w:rsidRDefault="00EB2DE4" w:rsidP="00EB2DE4">
      <w:pPr>
        <w:spacing w:beforeLines="60" w:before="144" w:afterLines="60" w:after="144"/>
        <w:jc w:val="center"/>
        <w:rPr>
          <w:rFonts w:ascii="Arial" w:hAnsi="Arial" w:cs="Arial"/>
          <w:b/>
          <w:bCs/>
        </w:rPr>
      </w:pPr>
    </w:p>
    <w:p w:rsidR="00EB2DE4" w:rsidRPr="00DA62C2" w:rsidRDefault="00EB2DE4" w:rsidP="00EB2DE4">
      <w:pPr>
        <w:spacing w:beforeLines="60" w:before="144" w:afterLines="60" w:after="144"/>
        <w:jc w:val="center"/>
        <w:rPr>
          <w:rFonts w:ascii="Arial" w:hAnsi="Arial" w:cs="Arial"/>
          <w:b/>
          <w:bCs/>
        </w:rPr>
      </w:pPr>
    </w:p>
    <w:p w:rsidR="00EB2DE4" w:rsidRPr="00DA62C2" w:rsidRDefault="00EB2DE4" w:rsidP="00EB2DE4">
      <w:pPr>
        <w:spacing w:beforeLines="60" w:before="144" w:afterLines="60" w:after="144"/>
        <w:jc w:val="center"/>
        <w:rPr>
          <w:rFonts w:ascii="Arial" w:hAnsi="Arial" w:cs="Arial"/>
          <w:b/>
          <w:bCs/>
        </w:rPr>
      </w:pPr>
    </w:p>
    <w:p w:rsidR="00EB2DE4" w:rsidRDefault="00EB2DE4" w:rsidP="00EB2DE4">
      <w:pPr>
        <w:spacing w:before="120" w:after="120"/>
        <w:jc w:val="center"/>
        <w:rPr>
          <w:rFonts w:ascii="Arial" w:hAnsi="Arial" w:cs="Arial"/>
          <w:b/>
          <w:bCs/>
          <w:caps/>
          <w:sz w:val="28"/>
          <w:szCs w:val="28"/>
        </w:rPr>
      </w:pPr>
      <w:r w:rsidRPr="009B014D">
        <w:rPr>
          <w:rFonts w:ascii="Arial" w:hAnsi="Arial" w:cs="Arial"/>
          <w:b/>
          <w:bCs/>
          <w:caps/>
          <w:sz w:val="28"/>
          <w:szCs w:val="28"/>
        </w:rPr>
        <w:t xml:space="preserve">Методика </w:t>
      </w:r>
    </w:p>
    <w:p w:rsidR="00EB2DE4" w:rsidRDefault="00EB2DE4" w:rsidP="00EB2DE4">
      <w:pPr>
        <w:spacing w:before="120" w:after="120"/>
        <w:jc w:val="center"/>
        <w:rPr>
          <w:rFonts w:ascii="Arial" w:hAnsi="Arial" w:cs="Arial"/>
          <w:b/>
          <w:bCs/>
          <w:caps/>
          <w:sz w:val="28"/>
          <w:szCs w:val="28"/>
        </w:rPr>
      </w:pPr>
      <w:r w:rsidRPr="009B014D">
        <w:rPr>
          <w:rFonts w:ascii="Arial" w:hAnsi="Arial" w:cs="Arial"/>
          <w:b/>
          <w:bCs/>
          <w:caps/>
          <w:sz w:val="28"/>
          <w:szCs w:val="28"/>
        </w:rPr>
        <w:t>проведения экспертизы финансово-экономической</w:t>
      </w:r>
    </w:p>
    <w:p w:rsidR="00EB2DE4" w:rsidRDefault="00EB2DE4" w:rsidP="00EB2DE4">
      <w:pPr>
        <w:spacing w:before="120" w:after="120"/>
        <w:jc w:val="center"/>
        <w:rPr>
          <w:rFonts w:ascii="Arial" w:hAnsi="Arial" w:cs="Arial"/>
          <w:b/>
          <w:bCs/>
          <w:caps/>
          <w:sz w:val="28"/>
          <w:szCs w:val="28"/>
        </w:rPr>
      </w:pPr>
      <w:r w:rsidRPr="009B014D">
        <w:rPr>
          <w:rFonts w:ascii="Arial" w:hAnsi="Arial" w:cs="Arial"/>
          <w:b/>
          <w:bCs/>
          <w:caps/>
          <w:sz w:val="28"/>
          <w:szCs w:val="28"/>
        </w:rPr>
        <w:t xml:space="preserve"> устойчивости участников закупочных процедур</w:t>
      </w:r>
    </w:p>
    <w:p w:rsidR="00EB2DE4" w:rsidRPr="00B81A32" w:rsidRDefault="00EB2DE4" w:rsidP="00EB2DE4">
      <w:pPr>
        <w:spacing w:before="120" w:after="120"/>
        <w:jc w:val="center"/>
        <w:rPr>
          <w:rFonts w:ascii="Arial" w:hAnsi="Arial" w:cs="Arial"/>
          <w:b/>
          <w:bCs/>
          <w:caps/>
          <w:sz w:val="28"/>
          <w:szCs w:val="28"/>
        </w:rPr>
      </w:pPr>
      <w:r>
        <w:rPr>
          <w:rFonts w:ascii="Arial" w:hAnsi="Arial" w:cs="Arial"/>
          <w:b/>
          <w:bCs/>
          <w:caps/>
          <w:sz w:val="28"/>
          <w:szCs w:val="28"/>
        </w:rPr>
        <w:t>бизнес-дивизиона «электрогенерация»</w:t>
      </w:r>
    </w:p>
    <w:p w:rsidR="00EB2DE4" w:rsidRPr="00DA62C2" w:rsidRDefault="00EB2DE4" w:rsidP="00EB2DE4">
      <w:pPr>
        <w:jc w:val="center"/>
        <w:rPr>
          <w:rFonts w:ascii="Arial" w:hAnsi="Arial" w:cs="Arial"/>
          <w:b/>
          <w:bCs/>
          <w:caps/>
        </w:rPr>
      </w:pPr>
    </w:p>
    <w:p w:rsidR="00EB2DE4" w:rsidRPr="00D651BF" w:rsidRDefault="00EB2DE4" w:rsidP="00EB2DE4">
      <w:pPr>
        <w:spacing w:beforeLines="60" w:before="144" w:afterLines="60" w:after="144"/>
        <w:jc w:val="center"/>
        <w:rPr>
          <w:rFonts w:ascii="Arial" w:hAnsi="Arial" w:cs="Arial"/>
          <w:b/>
          <w:bCs/>
          <w:iCs/>
        </w:rPr>
      </w:pPr>
    </w:p>
    <w:p w:rsidR="00EB2DE4" w:rsidRPr="004E395F" w:rsidRDefault="00EB2DE4" w:rsidP="00EB2DE4">
      <w:pPr>
        <w:spacing w:beforeLines="60" w:before="144" w:afterLines="60" w:after="144"/>
        <w:jc w:val="center"/>
        <w:rPr>
          <w:rFonts w:ascii="Arial" w:hAnsi="Arial" w:cs="Arial"/>
          <w:b/>
          <w:bCs/>
          <w:iCs/>
        </w:rPr>
      </w:pPr>
    </w:p>
    <w:p w:rsidR="00EB2DE4" w:rsidRPr="001955F0" w:rsidRDefault="00EB2DE4" w:rsidP="00EB2DE4">
      <w:pPr>
        <w:spacing w:beforeLines="60" w:before="144" w:afterLines="60" w:after="144"/>
        <w:jc w:val="center"/>
        <w:rPr>
          <w:rFonts w:ascii="Arial" w:hAnsi="Arial" w:cs="Arial"/>
          <w:i/>
        </w:rPr>
      </w:pPr>
    </w:p>
    <w:p w:rsidR="00EB2DE4" w:rsidRPr="001955F0" w:rsidRDefault="00EB2DE4" w:rsidP="00EB2DE4">
      <w:pPr>
        <w:spacing w:beforeLines="60" w:before="144" w:afterLines="60" w:after="144"/>
        <w:jc w:val="center"/>
        <w:rPr>
          <w:rFonts w:ascii="Arial" w:hAnsi="Arial" w:cs="Arial"/>
          <w:i/>
        </w:rPr>
      </w:pPr>
    </w:p>
    <w:p w:rsidR="00EB2DE4" w:rsidRPr="001955F0" w:rsidRDefault="00EB2DE4" w:rsidP="00EB2DE4">
      <w:pPr>
        <w:spacing w:beforeLines="60" w:before="144" w:afterLines="60" w:after="144"/>
        <w:jc w:val="center"/>
        <w:rPr>
          <w:rFonts w:ascii="Arial" w:hAnsi="Arial" w:cs="Arial"/>
          <w:i/>
        </w:rPr>
      </w:pPr>
    </w:p>
    <w:p w:rsidR="00EB2DE4" w:rsidRPr="001955F0" w:rsidRDefault="00EB2DE4" w:rsidP="00EB2DE4">
      <w:pPr>
        <w:spacing w:beforeLines="60" w:before="144" w:afterLines="60" w:after="144"/>
        <w:jc w:val="center"/>
        <w:rPr>
          <w:rFonts w:ascii="Arial" w:hAnsi="Arial" w:cs="Arial"/>
          <w:i/>
        </w:rPr>
      </w:pPr>
    </w:p>
    <w:p w:rsidR="00EB2DE4" w:rsidRPr="00486E39" w:rsidRDefault="00EB2DE4" w:rsidP="00EB2DE4">
      <w:pPr>
        <w:spacing w:beforeLines="60" w:before="144" w:afterLines="60" w:after="144"/>
        <w:rPr>
          <w:rFonts w:ascii="Arial" w:hAnsi="Arial" w:cs="Arial"/>
          <w:i/>
        </w:rPr>
      </w:pPr>
    </w:p>
    <w:p w:rsidR="00EB2DE4" w:rsidRPr="00357999" w:rsidRDefault="00EB2DE4" w:rsidP="00EB2DE4">
      <w:pPr>
        <w:spacing w:beforeLines="60" w:before="144" w:afterLines="60" w:after="144"/>
        <w:rPr>
          <w:rFonts w:ascii="Arial" w:hAnsi="Arial" w:cs="Arial"/>
          <w:i/>
        </w:rPr>
      </w:pPr>
    </w:p>
    <w:p w:rsidR="00EB2DE4" w:rsidRPr="003F7342" w:rsidRDefault="00EB2DE4" w:rsidP="00EB2DE4">
      <w:pPr>
        <w:pStyle w:val="8"/>
        <w:spacing w:beforeLines="60" w:before="144" w:afterLines="60" w:after="144"/>
        <w:rPr>
          <w:rFonts w:ascii="Arial" w:hAnsi="Arial" w:cs="Arial"/>
        </w:rPr>
      </w:pPr>
      <w:r w:rsidRPr="003F7342">
        <w:rPr>
          <w:rFonts w:ascii="Arial" w:hAnsi="Arial" w:cs="Arial"/>
        </w:rPr>
        <w:t>ВЛАДЕЛЕЦ документа:</w:t>
      </w:r>
    </w:p>
    <w:tbl>
      <w:tblPr>
        <w:tblpPr w:leftFromText="180" w:rightFromText="180" w:vertAnchor="text" w:horzAnchor="margin" w:tblpY="33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3969"/>
      </w:tblGrid>
      <w:tr w:rsidR="00EB2DE4" w:rsidRPr="003F7342" w:rsidTr="00C162FA">
        <w:tblPrEx>
          <w:tblCellMar>
            <w:top w:w="0" w:type="dxa"/>
            <w:bottom w:w="0" w:type="dxa"/>
          </w:tblCellMar>
        </w:tblPrEx>
        <w:trPr>
          <w:trHeight w:val="1682"/>
        </w:trPr>
        <w:tc>
          <w:tcPr>
            <w:tcW w:w="5778" w:type="dxa"/>
            <w:tcBorders>
              <w:top w:val="nil"/>
              <w:left w:val="nil"/>
              <w:bottom w:val="nil"/>
              <w:right w:val="nil"/>
            </w:tcBorders>
          </w:tcPr>
          <w:p w:rsidR="00EB2DE4" w:rsidRPr="003F7342" w:rsidRDefault="00EB2DE4" w:rsidP="00C162FA">
            <w:pPr>
              <w:rPr>
                <w:rFonts w:ascii="Arial" w:hAnsi="Arial" w:cs="Arial"/>
              </w:rPr>
            </w:pPr>
            <w:r>
              <w:rPr>
                <w:rFonts w:ascii="Arial" w:hAnsi="Arial" w:cs="Arial"/>
              </w:rPr>
              <w:t>Заместитель Г</w:t>
            </w:r>
            <w:r w:rsidRPr="003F7342">
              <w:rPr>
                <w:rFonts w:ascii="Arial" w:hAnsi="Arial" w:cs="Arial"/>
              </w:rPr>
              <w:t xml:space="preserve">енерального </w:t>
            </w:r>
          </w:p>
          <w:p w:rsidR="00EB2DE4" w:rsidRPr="003F7342" w:rsidRDefault="00EB2DE4" w:rsidP="00C162FA">
            <w:pPr>
              <w:rPr>
                <w:rFonts w:ascii="Arial" w:hAnsi="Arial" w:cs="Arial"/>
              </w:rPr>
            </w:pPr>
            <w:r w:rsidRPr="003F7342">
              <w:rPr>
                <w:rFonts w:ascii="Arial" w:hAnsi="Arial" w:cs="Arial"/>
              </w:rPr>
              <w:t xml:space="preserve">директора по экономике и финансам </w:t>
            </w:r>
          </w:p>
          <w:p w:rsidR="00EB2DE4" w:rsidRDefault="00EB2DE4" w:rsidP="00C162FA">
            <w:pPr>
              <w:rPr>
                <w:rFonts w:ascii="Arial" w:hAnsi="Arial" w:cs="Arial"/>
              </w:rPr>
            </w:pPr>
            <w:r>
              <w:rPr>
                <w:rFonts w:ascii="Arial" w:hAnsi="Arial" w:cs="Arial"/>
              </w:rPr>
              <w:t xml:space="preserve">ООО «ИНТЕР РАО – </w:t>
            </w:r>
          </w:p>
          <w:p w:rsidR="00EB2DE4" w:rsidRPr="003F7342" w:rsidRDefault="00EB2DE4" w:rsidP="00C162FA">
            <w:pPr>
              <w:rPr>
                <w:rFonts w:ascii="Arial" w:hAnsi="Arial" w:cs="Arial"/>
              </w:rPr>
            </w:pPr>
            <w:r>
              <w:rPr>
                <w:rFonts w:ascii="Arial" w:hAnsi="Arial" w:cs="Arial"/>
              </w:rPr>
              <w:t xml:space="preserve">Управление электрогенерацией»    </w:t>
            </w:r>
          </w:p>
        </w:tc>
        <w:tc>
          <w:tcPr>
            <w:tcW w:w="3969" w:type="dxa"/>
            <w:tcBorders>
              <w:top w:val="nil"/>
              <w:left w:val="nil"/>
              <w:bottom w:val="nil"/>
              <w:right w:val="nil"/>
            </w:tcBorders>
          </w:tcPr>
          <w:p w:rsidR="00EB2DE4" w:rsidRDefault="00EB2DE4" w:rsidP="00C162FA">
            <w:pPr>
              <w:rPr>
                <w:rFonts w:ascii="Arial" w:hAnsi="Arial" w:cs="Arial"/>
                <w:color w:val="FF0000"/>
              </w:rPr>
            </w:pPr>
          </w:p>
          <w:p w:rsidR="00EB2DE4" w:rsidRPr="003F7342" w:rsidRDefault="00EB2DE4" w:rsidP="00C162FA">
            <w:pPr>
              <w:rPr>
                <w:rFonts w:ascii="Arial" w:hAnsi="Arial" w:cs="Arial"/>
              </w:rPr>
            </w:pPr>
          </w:p>
          <w:p w:rsidR="00EB2DE4" w:rsidRDefault="00EB2DE4" w:rsidP="00C162FA">
            <w:pPr>
              <w:rPr>
                <w:rFonts w:ascii="Arial" w:hAnsi="Arial" w:cs="Arial"/>
              </w:rPr>
            </w:pPr>
          </w:p>
          <w:p w:rsidR="00EB2DE4" w:rsidRPr="003F7342" w:rsidRDefault="00EB2DE4" w:rsidP="00C162FA">
            <w:pPr>
              <w:tabs>
                <w:tab w:val="left" w:pos="975"/>
              </w:tabs>
              <w:ind w:right="175"/>
              <w:rPr>
                <w:rFonts w:ascii="Arial" w:hAnsi="Arial" w:cs="Arial"/>
              </w:rPr>
            </w:pPr>
            <w:r>
              <w:rPr>
                <w:rFonts w:ascii="Arial" w:hAnsi="Arial" w:cs="Arial"/>
              </w:rPr>
              <w:t>________________П.Е. Акилин</w:t>
            </w:r>
          </w:p>
        </w:tc>
      </w:tr>
    </w:tbl>
    <w:p w:rsidR="00EB2DE4" w:rsidRPr="00057C48" w:rsidRDefault="00EB2DE4" w:rsidP="00EB2DE4">
      <w:pPr>
        <w:spacing w:beforeLines="60" w:before="144" w:afterLines="60" w:after="144"/>
        <w:rPr>
          <w:rFonts w:ascii="Arial" w:hAnsi="Arial" w:cs="Arial"/>
        </w:rPr>
      </w:pPr>
    </w:p>
    <w:p w:rsidR="00EB2DE4" w:rsidRDefault="00EB2DE4" w:rsidP="00EB2DE4">
      <w:pPr>
        <w:pStyle w:val="a4"/>
        <w:spacing w:before="60" w:after="60"/>
        <w:rPr>
          <w:rFonts w:ascii="Arial" w:hAnsi="Arial" w:cs="Arial"/>
          <w:bCs w:val="0"/>
          <w:sz w:val="24"/>
        </w:rPr>
        <w:sectPr w:rsidR="00EB2DE4" w:rsidSect="00340721">
          <w:headerReference w:type="even" r:id="rId16"/>
          <w:headerReference w:type="default" r:id="rId17"/>
          <w:footerReference w:type="default" r:id="rId18"/>
          <w:pgSz w:w="11906" w:h="16838"/>
          <w:pgMar w:top="1134" w:right="851" w:bottom="1134" w:left="1701" w:header="708" w:footer="708" w:gutter="0"/>
          <w:pgNumType w:start="1"/>
          <w:cols w:space="708"/>
          <w:docGrid w:linePitch="360"/>
        </w:sectPr>
      </w:pPr>
    </w:p>
    <w:p w:rsidR="00EB2DE4" w:rsidRPr="00DA62C2" w:rsidRDefault="00EB2DE4" w:rsidP="00EB2DE4">
      <w:pPr>
        <w:pStyle w:val="a4"/>
        <w:spacing w:before="60" w:after="60"/>
        <w:rPr>
          <w:rFonts w:ascii="Arial" w:hAnsi="Arial" w:cs="Arial"/>
          <w:bCs w:val="0"/>
          <w:sz w:val="24"/>
        </w:rPr>
      </w:pPr>
      <w:r w:rsidRPr="00DA62C2">
        <w:rPr>
          <w:rFonts w:ascii="Arial" w:hAnsi="Arial" w:cs="Arial"/>
          <w:bCs w:val="0"/>
          <w:sz w:val="24"/>
        </w:rPr>
        <w:lastRenderedPageBreak/>
        <w:t>Содержание</w:t>
      </w:r>
      <w:r w:rsidRPr="00DA62C2">
        <w:rPr>
          <w:rFonts w:ascii="Arial" w:hAnsi="Arial" w:cs="Arial"/>
          <w:bCs w:val="0"/>
          <w:sz w:val="24"/>
        </w:rPr>
        <w:br/>
      </w:r>
    </w:p>
    <w:bookmarkStart w:id="1" w:name="_Toc314226151"/>
    <w:bookmarkStart w:id="2" w:name="_Toc322961170"/>
    <w:bookmarkStart w:id="3" w:name="_Toc326066005"/>
    <w:bookmarkStart w:id="4" w:name="_Toc326066275"/>
    <w:p w:rsidR="00EB2DE4" w:rsidRPr="009D3A5E" w:rsidRDefault="00EB2DE4" w:rsidP="00EB2DE4">
      <w:pPr>
        <w:pStyle w:val="11"/>
        <w:tabs>
          <w:tab w:val="left" w:pos="480"/>
          <w:tab w:val="right" w:leader="dot" w:pos="9627"/>
        </w:tabs>
        <w:rPr>
          <w:rFonts w:ascii="Calibri" w:hAnsi="Calibri"/>
          <w:bCs w:val="0"/>
          <w:iCs w:val="0"/>
          <w:noProof/>
          <w:sz w:val="22"/>
          <w:szCs w:val="22"/>
        </w:rPr>
      </w:pPr>
      <w:r>
        <w:fldChar w:fldCharType="begin"/>
      </w:r>
      <w:r>
        <w:instrText xml:space="preserve"> TOC \o "1-3" \h \z \u </w:instrText>
      </w:r>
      <w:r>
        <w:fldChar w:fldCharType="separate"/>
      </w:r>
      <w:hyperlink w:anchor="_Toc370295569" w:history="1">
        <w:r w:rsidRPr="00B5106D">
          <w:rPr>
            <w:rStyle w:val="a7"/>
            <w:noProof/>
          </w:rPr>
          <w:t>1.</w:t>
        </w:r>
        <w:r w:rsidRPr="009D3A5E">
          <w:rPr>
            <w:rFonts w:ascii="Calibri" w:hAnsi="Calibri"/>
            <w:bCs w:val="0"/>
            <w:iCs w:val="0"/>
            <w:noProof/>
            <w:sz w:val="22"/>
            <w:szCs w:val="22"/>
          </w:rPr>
          <w:tab/>
        </w:r>
        <w:r w:rsidRPr="00B5106D">
          <w:rPr>
            <w:rStyle w:val="a7"/>
            <w:noProof/>
          </w:rPr>
          <w:t>Термины и определения</w:t>
        </w:r>
        <w:r>
          <w:rPr>
            <w:noProof/>
            <w:webHidden/>
          </w:rPr>
          <w:tab/>
        </w:r>
        <w:r>
          <w:rPr>
            <w:noProof/>
            <w:webHidden/>
          </w:rPr>
          <w:fldChar w:fldCharType="begin"/>
        </w:r>
        <w:r>
          <w:rPr>
            <w:noProof/>
            <w:webHidden/>
          </w:rPr>
          <w:instrText xml:space="preserve"> PAGEREF _Toc370295569 \h </w:instrText>
        </w:r>
        <w:r>
          <w:rPr>
            <w:noProof/>
            <w:webHidden/>
          </w:rPr>
        </w:r>
        <w:r>
          <w:rPr>
            <w:noProof/>
            <w:webHidden/>
          </w:rPr>
          <w:fldChar w:fldCharType="separate"/>
        </w:r>
        <w:r>
          <w:rPr>
            <w:noProof/>
            <w:webHidden/>
          </w:rPr>
          <w:t>3</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0" w:history="1">
        <w:r w:rsidRPr="00B5106D">
          <w:rPr>
            <w:rStyle w:val="a7"/>
            <w:noProof/>
          </w:rPr>
          <w:t>2.</w:t>
        </w:r>
        <w:r w:rsidRPr="009D3A5E">
          <w:rPr>
            <w:rFonts w:ascii="Calibri" w:hAnsi="Calibri"/>
            <w:bCs w:val="0"/>
            <w:iCs w:val="0"/>
            <w:noProof/>
            <w:sz w:val="22"/>
            <w:szCs w:val="22"/>
          </w:rPr>
          <w:tab/>
        </w:r>
        <w:r w:rsidRPr="00B5106D">
          <w:rPr>
            <w:rStyle w:val="a7"/>
            <w:noProof/>
          </w:rPr>
          <w:t>Нормативные ссылки</w:t>
        </w:r>
        <w:r>
          <w:rPr>
            <w:noProof/>
            <w:webHidden/>
          </w:rPr>
          <w:tab/>
        </w:r>
        <w:r>
          <w:rPr>
            <w:noProof/>
            <w:webHidden/>
          </w:rPr>
          <w:fldChar w:fldCharType="begin"/>
        </w:r>
        <w:r>
          <w:rPr>
            <w:noProof/>
            <w:webHidden/>
          </w:rPr>
          <w:instrText xml:space="preserve"> PAGEREF _Toc370295570 \h </w:instrText>
        </w:r>
        <w:r>
          <w:rPr>
            <w:noProof/>
            <w:webHidden/>
          </w:rPr>
        </w:r>
        <w:r>
          <w:rPr>
            <w:noProof/>
            <w:webHidden/>
          </w:rPr>
          <w:fldChar w:fldCharType="separate"/>
        </w:r>
        <w:r>
          <w:rPr>
            <w:noProof/>
            <w:webHidden/>
          </w:rPr>
          <w:t>3</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1" w:history="1">
        <w:r w:rsidRPr="00B5106D">
          <w:rPr>
            <w:rStyle w:val="a7"/>
            <w:noProof/>
          </w:rPr>
          <w:t>3.</w:t>
        </w:r>
        <w:r w:rsidRPr="009D3A5E">
          <w:rPr>
            <w:rFonts w:ascii="Calibri" w:hAnsi="Calibri"/>
            <w:bCs w:val="0"/>
            <w:iCs w:val="0"/>
            <w:noProof/>
            <w:sz w:val="22"/>
            <w:szCs w:val="22"/>
          </w:rPr>
          <w:tab/>
        </w:r>
        <w:r w:rsidRPr="00B5106D">
          <w:rPr>
            <w:rStyle w:val="a7"/>
            <w:noProof/>
          </w:rPr>
          <w:t>Назначение и область применения</w:t>
        </w:r>
        <w:r>
          <w:rPr>
            <w:noProof/>
            <w:webHidden/>
          </w:rPr>
          <w:tab/>
        </w:r>
        <w:r>
          <w:rPr>
            <w:noProof/>
            <w:webHidden/>
          </w:rPr>
          <w:fldChar w:fldCharType="begin"/>
        </w:r>
        <w:r>
          <w:rPr>
            <w:noProof/>
            <w:webHidden/>
          </w:rPr>
          <w:instrText xml:space="preserve"> PAGEREF _Toc370295571 \h </w:instrText>
        </w:r>
        <w:r>
          <w:rPr>
            <w:noProof/>
            <w:webHidden/>
          </w:rPr>
        </w:r>
        <w:r>
          <w:rPr>
            <w:noProof/>
            <w:webHidden/>
          </w:rPr>
          <w:fldChar w:fldCharType="separate"/>
        </w:r>
        <w:r>
          <w:rPr>
            <w:noProof/>
            <w:webHidden/>
          </w:rPr>
          <w:t>3</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2" w:history="1">
        <w:r w:rsidRPr="00B5106D">
          <w:rPr>
            <w:rStyle w:val="a7"/>
            <w:noProof/>
          </w:rPr>
          <w:t>4.</w:t>
        </w:r>
        <w:r w:rsidRPr="009D3A5E">
          <w:rPr>
            <w:rFonts w:ascii="Calibri" w:hAnsi="Calibri"/>
            <w:bCs w:val="0"/>
            <w:iCs w:val="0"/>
            <w:noProof/>
            <w:sz w:val="22"/>
            <w:szCs w:val="22"/>
          </w:rPr>
          <w:tab/>
        </w:r>
        <w:r w:rsidRPr="00B5106D">
          <w:rPr>
            <w:rStyle w:val="a7"/>
            <w:noProof/>
          </w:rPr>
          <w:t>Общие положения</w:t>
        </w:r>
        <w:r>
          <w:rPr>
            <w:noProof/>
            <w:webHidden/>
          </w:rPr>
          <w:tab/>
        </w:r>
        <w:r>
          <w:rPr>
            <w:noProof/>
            <w:webHidden/>
          </w:rPr>
          <w:fldChar w:fldCharType="begin"/>
        </w:r>
        <w:r>
          <w:rPr>
            <w:noProof/>
            <w:webHidden/>
          </w:rPr>
          <w:instrText xml:space="preserve"> PAGEREF _Toc370295572 \h </w:instrText>
        </w:r>
        <w:r>
          <w:rPr>
            <w:noProof/>
            <w:webHidden/>
          </w:rPr>
        </w:r>
        <w:r>
          <w:rPr>
            <w:noProof/>
            <w:webHidden/>
          </w:rPr>
          <w:fldChar w:fldCharType="separate"/>
        </w:r>
        <w:r>
          <w:rPr>
            <w:noProof/>
            <w:webHidden/>
          </w:rPr>
          <w:t>4</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3" w:history="1">
        <w:r w:rsidRPr="00B5106D">
          <w:rPr>
            <w:rStyle w:val="a7"/>
            <w:noProof/>
          </w:rPr>
          <w:t>5.</w:t>
        </w:r>
        <w:r w:rsidRPr="009D3A5E">
          <w:rPr>
            <w:rFonts w:ascii="Calibri" w:hAnsi="Calibri"/>
            <w:bCs w:val="0"/>
            <w:iCs w:val="0"/>
            <w:noProof/>
            <w:sz w:val="22"/>
            <w:szCs w:val="22"/>
          </w:rPr>
          <w:tab/>
        </w:r>
        <w:r w:rsidRPr="00B5106D">
          <w:rPr>
            <w:rStyle w:val="a7"/>
            <w:noProof/>
          </w:rPr>
          <w:t>Информация, используемая для оценки</w:t>
        </w:r>
        <w:r>
          <w:rPr>
            <w:noProof/>
            <w:webHidden/>
          </w:rPr>
          <w:tab/>
        </w:r>
        <w:r>
          <w:rPr>
            <w:noProof/>
            <w:webHidden/>
          </w:rPr>
          <w:fldChar w:fldCharType="begin"/>
        </w:r>
        <w:r>
          <w:rPr>
            <w:noProof/>
            <w:webHidden/>
          </w:rPr>
          <w:instrText xml:space="preserve"> PAGEREF _Toc370295573 \h </w:instrText>
        </w:r>
        <w:r>
          <w:rPr>
            <w:noProof/>
            <w:webHidden/>
          </w:rPr>
        </w:r>
        <w:r>
          <w:rPr>
            <w:noProof/>
            <w:webHidden/>
          </w:rPr>
          <w:fldChar w:fldCharType="separate"/>
        </w:r>
        <w:r>
          <w:rPr>
            <w:noProof/>
            <w:webHidden/>
          </w:rPr>
          <w:t>5</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4" w:history="1">
        <w:r w:rsidRPr="00B5106D">
          <w:rPr>
            <w:rStyle w:val="a7"/>
            <w:noProof/>
          </w:rPr>
          <w:t>6.</w:t>
        </w:r>
        <w:r w:rsidRPr="009D3A5E">
          <w:rPr>
            <w:rFonts w:ascii="Calibri" w:hAnsi="Calibri"/>
            <w:bCs w:val="0"/>
            <w:iCs w:val="0"/>
            <w:noProof/>
            <w:sz w:val="22"/>
            <w:szCs w:val="22"/>
          </w:rPr>
          <w:tab/>
        </w:r>
        <w:r w:rsidRPr="00B5106D">
          <w:rPr>
            <w:rStyle w:val="a7"/>
            <w:noProof/>
          </w:rPr>
          <w:t>Группа финансовых показателей</w:t>
        </w:r>
        <w:r>
          <w:rPr>
            <w:noProof/>
            <w:webHidden/>
          </w:rPr>
          <w:tab/>
        </w:r>
        <w:r>
          <w:rPr>
            <w:noProof/>
            <w:webHidden/>
          </w:rPr>
          <w:fldChar w:fldCharType="begin"/>
        </w:r>
        <w:r>
          <w:rPr>
            <w:noProof/>
            <w:webHidden/>
          </w:rPr>
          <w:instrText xml:space="preserve"> PAGEREF _Toc370295574 \h </w:instrText>
        </w:r>
        <w:r>
          <w:rPr>
            <w:noProof/>
            <w:webHidden/>
          </w:rPr>
        </w:r>
        <w:r>
          <w:rPr>
            <w:noProof/>
            <w:webHidden/>
          </w:rPr>
          <w:fldChar w:fldCharType="separate"/>
        </w:r>
        <w:r>
          <w:rPr>
            <w:noProof/>
            <w:webHidden/>
          </w:rPr>
          <w:t>6</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5" w:history="1">
        <w:r w:rsidRPr="00B5106D">
          <w:rPr>
            <w:rStyle w:val="a7"/>
            <w:noProof/>
          </w:rPr>
          <w:t>7.</w:t>
        </w:r>
        <w:r w:rsidRPr="009D3A5E">
          <w:rPr>
            <w:rFonts w:ascii="Calibri" w:hAnsi="Calibri"/>
            <w:bCs w:val="0"/>
            <w:iCs w:val="0"/>
            <w:noProof/>
            <w:sz w:val="22"/>
            <w:szCs w:val="22"/>
          </w:rPr>
          <w:tab/>
        </w:r>
        <w:r w:rsidRPr="00B5106D">
          <w:rPr>
            <w:rStyle w:val="a7"/>
            <w:noProof/>
          </w:rPr>
          <w:t>Группа показателей бизнес-риска</w:t>
        </w:r>
        <w:r>
          <w:rPr>
            <w:noProof/>
            <w:webHidden/>
          </w:rPr>
          <w:tab/>
        </w:r>
        <w:r>
          <w:rPr>
            <w:noProof/>
            <w:webHidden/>
          </w:rPr>
          <w:fldChar w:fldCharType="begin"/>
        </w:r>
        <w:r>
          <w:rPr>
            <w:noProof/>
            <w:webHidden/>
          </w:rPr>
          <w:instrText xml:space="preserve"> PAGEREF _Toc370295575 \h </w:instrText>
        </w:r>
        <w:r>
          <w:rPr>
            <w:noProof/>
            <w:webHidden/>
          </w:rPr>
        </w:r>
        <w:r>
          <w:rPr>
            <w:noProof/>
            <w:webHidden/>
          </w:rPr>
          <w:fldChar w:fldCharType="separate"/>
        </w:r>
        <w:r>
          <w:rPr>
            <w:noProof/>
            <w:webHidden/>
          </w:rPr>
          <w:t>8</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6" w:history="1">
        <w:r w:rsidRPr="00B5106D">
          <w:rPr>
            <w:rStyle w:val="a7"/>
            <w:noProof/>
          </w:rPr>
          <w:t>8.</w:t>
        </w:r>
        <w:r w:rsidRPr="009D3A5E">
          <w:rPr>
            <w:rFonts w:ascii="Calibri" w:hAnsi="Calibri"/>
            <w:bCs w:val="0"/>
            <w:iCs w:val="0"/>
            <w:noProof/>
            <w:sz w:val="22"/>
            <w:szCs w:val="22"/>
          </w:rPr>
          <w:tab/>
        </w:r>
        <w:r w:rsidRPr="00B5106D">
          <w:rPr>
            <w:rStyle w:val="a7"/>
            <w:noProof/>
          </w:rPr>
          <w:t>Весовые коэффициенты и формирование первичной оценки</w:t>
        </w:r>
        <w:r>
          <w:rPr>
            <w:noProof/>
            <w:webHidden/>
          </w:rPr>
          <w:tab/>
        </w:r>
        <w:r>
          <w:rPr>
            <w:noProof/>
            <w:webHidden/>
          </w:rPr>
          <w:fldChar w:fldCharType="begin"/>
        </w:r>
        <w:r>
          <w:rPr>
            <w:noProof/>
            <w:webHidden/>
          </w:rPr>
          <w:instrText xml:space="preserve"> PAGEREF _Toc370295576 \h </w:instrText>
        </w:r>
        <w:r>
          <w:rPr>
            <w:noProof/>
            <w:webHidden/>
          </w:rPr>
        </w:r>
        <w:r>
          <w:rPr>
            <w:noProof/>
            <w:webHidden/>
          </w:rPr>
          <w:fldChar w:fldCharType="separate"/>
        </w:r>
        <w:r>
          <w:rPr>
            <w:noProof/>
            <w:webHidden/>
          </w:rPr>
          <w:t>10</w:t>
        </w:r>
        <w:r>
          <w:rPr>
            <w:noProof/>
            <w:webHidden/>
          </w:rPr>
          <w:fldChar w:fldCharType="end"/>
        </w:r>
      </w:hyperlink>
    </w:p>
    <w:p w:rsidR="00EB2DE4" w:rsidRPr="009D3A5E" w:rsidRDefault="00EB2DE4" w:rsidP="00EB2DE4">
      <w:pPr>
        <w:pStyle w:val="11"/>
        <w:tabs>
          <w:tab w:val="left" w:pos="480"/>
          <w:tab w:val="right" w:leader="dot" w:pos="9627"/>
        </w:tabs>
        <w:rPr>
          <w:rFonts w:ascii="Calibri" w:hAnsi="Calibri"/>
          <w:bCs w:val="0"/>
          <w:iCs w:val="0"/>
          <w:noProof/>
          <w:sz w:val="22"/>
          <w:szCs w:val="22"/>
        </w:rPr>
      </w:pPr>
      <w:hyperlink w:anchor="_Toc370295577" w:history="1">
        <w:r w:rsidRPr="00B5106D">
          <w:rPr>
            <w:rStyle w:val="a7"/>
            <w:noProof/>
          </w:rPr>
          <w:t>9.</w:t>
        </w:r>
        <w:r w:rsidRPr="009D3A5E">
          <w:rPr>
            <w:rFonts w:ascii="Calibri" w:hAnsi="Calibri"/>
            <w:bCs w:val="0"/>
            <w:iCs w:val="0"/>
            <w:noProof/>
            <w:sz w:val="22"/>
            <w:szCs w:val="22"/>
          </w:rPr>
          <w:tab/>
        </w:r>
        <w:r w:rsidRPr="00B5106D">
          <w:rPr>
            <w:rStyle w:val="a7"/>
            <w:noProof/>
          </w:rPr>
          <w:t>Отборочная стадия</w:t>
        </w:r>
        <w:r>
          <w:rPr>
            <w:noProof/>
            <w:webHidden/>
          </w:rPr>
          <w:tab/>
        </w:r>
        <w:r>
          <w:rPr>
            <w:noProof/>
            <w:webHidden/>
          </w:rPr>
          <w:fldChar w:fldCharType="begin"/>
        </w:r>
        <w:r>
          <w:rPr>
            <w:noProof/>
            <w:webHidden/>
          </w:rPr>
          <w:instrText xml:space="preserve"> PAGEREF _Toc370295577 \h </w:instrText>
        </w:r>
        <w:r>
          <w:rPr>
            <w:noProof/>
            <w:webHidden/>
          </w:rPr>
        </w:r>
        <w:r>
          <w:rPr>
            <w:noProof/>
            <w:webHidden/>
          </w:rPr>
          <w:fldChar w:fldCharType="separate"/>
        </w:r>
        <w:r>
          <w:rPr>
            <w:noProof/>
            <w:webHidden/>
          </w:rPr>
          <w:t>12</w:t>
        </w:r>
        <w:r>
          <w:rPr>
            <w:noProof/>
            <w:webHidden/>
          </w:rPr>
          <w:fldChar w:fldCharType="end"/>
        </w:r>
      </w:hyperlink>
    </w:p>
    <w:p w:rsidR="00EB2DE4" w:rsidRPr="009D3A5E" w:rsidRDefault="00EB2DE4" w:rsidP="00EB2DE4">
      <w:pPr>
        <w:pStyle w:val="11"/>
        <w:tabs>
          <w:tab w:val="left" w:pos="720"/>
          <w:tab w:val="right" w:leader="dot" w:pos="9627"/>
        </w:tabs>
        <w:rPr>
          <w:rFonts w:ascii="Calibri" w:hAnsi="Calibri"/>
          <w:bCs w:val="0"/>
          <w:iCs w:val="0"/>
          <w:noProof/>
          <w:sz w:val="22"/>
          <w:szCs w:val="22"/>
        </w:rPr>
      </w:pPr>
      <w:hyperlink w:anchor="_Toc370295578" w:history="1">
        <w:r w:rsidRPr="00B5106D">
          <w:rPr>
            <w:rStyle w:val="a7"/>
            <w:noProof/>
          </w:rPr>
          <w:t>10.</w:t>
        </w:r>
        <w:r w:rsidRPr="009D3A5E">
          <w:rPr>
            <w:rFonts w:ascii="Calibri" w:hAnsi="Calibri"/>
            <w:bCs w:val="0"/>
            <w:iCs w:val="0"/>
            <w:noProof/>
            <w:sz w:val="22"/>
            <w:szCs w:val="22"/>
          </w:rPr>
          <w:tab/>
        </w:r>
        <w:r w:rsidRPr="00B5106D">
          <w:rPr>
            <w:rStyle w:val="a7"/>
            <w:noProof/>
          </w:rPr>
          <w:t>Оценочная стадия</w:t>
        </w:r>
        <w:r>
          <w:rPr>
            <w:noProof/>
            <w:webHidden/>
          </w:rPr>
          <w:tab/>
        </w:r>
        <w:r>
          <w:rPr>
            <w:noProof/>
            <w:webHidden/>
          </w:rPr>
          <w:fldChar w:fldCharType="begin"/>
        </w:r>
        <w:r>
          <w:rPr>
            <w:noProof/>
            <w:webHidden/>
          </w:rPr>
          <w:instrText xml:space="preserve"> PAGEREF _Toc370295578 \h </w:instrText>
        </w:r>
        <w:r>
          <w:rPr>
            <w:noProof/>
            <w:webHidden/>
          </w:rPr>
        </w:r>
        <w:r>
          <w:rPr>
            <w:noProof/>
            <w:webHidden/>
          </w:rPr>
          <w:fldChar w:fldCharType="separate"/>
        </w:r>
        <w:r>
          <w:rPr>
            <w:noProof/>
            <w:webHidden/>
          </w:rPr>
          <w:t>14</w:t>
        </w:r>
        <w:r>
          <w:rPr>
            <w:noProof/>
            <w:webHidden/>
          </w:rPr>
          <w:fldChar w:fldCharType="end"/>
        </w:r>
      </w:hyperlink>
    </w:p>
    <w:p w:rsidR="00EB2DE4" w:rsidRPr="009D3A5E" w:rsidRDefault="00EB2DE4" w:rsidP="00EB2DE4">
      <w:pPr>
        <w:pStyle w:val="11"/>
        <w:tabs>
          <w:tab w:val="left" w:pos="720"/>
          <w:tab w:val="right" w:leader="dot" w:pos="9627"/>
        </w:tabs>
        <w:rPr>
          <w:rFonts w:ascii="Calibri" w:hAnsi="Calibri"/>
          <w:bCs w:val="0"/>
          <w:iCs w:val="0"/>
          <w:noProof/>
          <w:sz w:val="22"/>
          <w:szCs w:val="22"/>
        </w:rPr>
      </w:pPr>
      <w:hyperlink w:anchor="_Toc370295579" w:history="1">
        <w:r w:rsidRPr="00B5106D">
          <w:rPr>
            <w:rStyle w:val="a7"/>
            <w:noProof/>
          </w:rPr>
          <w:t>11.</w:t>
        </w:r>
        <w:r w:rsidRPr="009D3A5E">
          <w:rPr>
            <w:rFonts w:ascii="Calibri" w:hAnsi="Calibri"/>
            <w:bCs w:val="0"/>
            <w:iCs w:val="0"/>
            <w:noProof/>
            <w:sz w:val="22"/>
            <w:szCs w:val="22"/>
          </w:rPr>
          <w:tab/>
        </w:r>
        <w:r w:rsidRPr="00B5106D">
          <w:rPr>
            <w:rStyle w:val="a7"/>
            <w:noProof/>
          </w:rPr>
          <w:t>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Pr="00B5106D">
          <w:rPr>
            <w:rStyle w:val="a7"/>
            <w:noProof/>
            <w:lang w:val="en-US"/>
          </w:rPr>
          <w:t>xls</w:t>
        </w:r>
        <w:r w:rsidRPr="00B5106D">
          <w:rPr>
            <w:rStyle w:val="a7"/>
            <w:noProof/>
          </w:rPr>
          <w:t>»</w:t>
        </w:r>
        <w:r>
          <w:rPr>
            <w:noProof/>
            <w:webHidden/>
          </w:rPr>
          <w:tab/>
        </w:r>
        <w:r>
          <w:rPr>
            <w:noProof/>
            <w:webHidden/>
          </w:rPr>
          <w:fldChar w:fldCharType="begin"/>
        </w:r>
        <w:r>
          <w:rPr>
            <w:noProof/>
            <w:webHidden/>
          </w:rPr>
          <w:instrText xml:space="preserve"> PAGEREF _Toc370295579 \h </w:instrText>
        </w:r>
        <w:r>
          <w:rPr>
            <w:noProof/>
            <w:webHidden/>
          </w:rPr>
        </w:r>
        <w:r>
          <w:rPr>
            <w:noProof/>
            <w:webHidden/>
          </w:rPr>
          <w:fldChar w:fldCharType="separate"/>
        </w:r>
        <w:r>
          <w:rPr>
            <w:noProof/>
            <w:webHidden/>
          </w:rPr>
          <w:t>15</w:t>
        </w:r>
        <w:r>
          <w:rPr>
            <w:noProof/>
            <w:webHidden/>
          </w:rPr>
          <w:fldChar w:fldCharType="end"/>
        </w:r>
      </w:hyperlink>
    </w:p>
    <w:p w:rsidR="00EB2DE4" w:rsidRPr="009D3A5E" w:rsidRDefault="00EB2DE4" w:rsidP="00EB2DE4">
      <w:pPr>
        <w:pStyle w:val="11"/>
        <w:tabs>
          <w:tab w:val="left" w:pos="720"/>
          <w:tab w:val="right" w:leader="dot" w:pos="9627"/>
        </w:tabs>
        <w:rPr>
          <w:rFonts w:ascii="Calibri" w:hAnsi="Calibri"/>
          <w:bCs w:val="0"/>
          <w:iCs w:val="0"/>
          <w:noProof/>
          <w:sz w:val="22"/>
          <w:szCs w:val="22"/>
        </w:rPr>
      </w:pPr>
      <w:hyperlink w:anchor="_Toc370295580" w:history="1">
        <w:r w:rsidRPr="00B5106D">
          <w:rPr>
            <w:rStyle w:val="a7"/>
            <w:noProof/>
          </w:rPr>
          <w:t>12.</w:t>
        </w:r>
        <w:r w:rsidRPr="009D3A5E">
          <w:rPr>
            <w:rFonts w:ascii="Calibri" w:hAnsi="Calibri"/>
            <w:bCs w:val="0"/>
            <w:iCs w:val="0"/>
            <w:noProof/>
            <w:sz w:val="22"/>
            <w:szCs w:val="22"/>
          </w:rPr>
          <w:tab/>
        </w:r>
        <w:r w:rsidRPr="00B5106D">
          <w:rPr>
            <w:rStyle w:val="a7"/>
            <w:noProof/>
          </w:rPr>
          <w:t>Лист регистрации изменений</w:t>
        </w:r>
        <w:r>
          <w:rPr>
            <w:noProof/>
            <w:webHidden/>
          </w:rPr>
          <w:tab/>
        </w:r>
        <w:r>
          <w:rPr>
            <w:noProof/>
            <w:webHidden/>
          </w:rPr>
          <w:fldChar w:fldCharType="begin"/>
        </w:r>
        <w:r>
          <w:rPr>
            <w:noProof/>
            <w:webHidden/>
          </w:rPr>
          <w:instrText xml:space="preserve"> PAGEREF _Toc370295580 \h </w:instrText>
        </w:r>
        <w:r>
          <w:rPr>
            <w:noProof/>
            <w:webHidden/>
          </w:rPr>
        </w:r>
        <w:r>
          <w:rPr>
            <w:noProof/>
            <w:webHidden/>
          </w:rPr>
          <w:fldChar w:fldCharType="separate"/>
        </w:r>
        <w:r>
          <w:rPr>
            <w:noProof/>
            <w:webHidden/>
          </w:rPr>
          <w:t>22</w:t>
        </w:r>
        <w:r>
          <w:rPr>
            <w:noProof/>
            <w:webHidden/>
          </w:rPr>
          <w:fldChar w:fldCharType="end"/>
        </w:r>
      </w:hyperlink>
    </w:p>
    <w:p w:rsidR="00EB2DE4" w:rsidRPr="009D3A5E" w:rsidRDefault="00EB2DE4" w:rsidP="00EB2DE4">
      <w:pPr>
        <w:pStyle w:val="11"/>
        <w:tabs>
          <w:tab w:val="left" w:pos="720"/>
          <w:tab w:val="right" w:leader="dot" w:pos="9627"/>
        </w:tabs>
        <w:rPr>
          <w:rFonts w:ascii="Calibri" w:hAnsi="Calibri"/>
          <w:bCs w:val="0"/>
          <w:iCs w:val="0"/>
          <w:noProof/>
          <w:sz w:val="22"/>
          <w:szCs w:val="22"/>
        </w:rPr>
      </w:pPr>
      <w:hyperlink w:anchor="_Toc370295581" w:history="1">
        <w:r w:rsidRPr="00B5106D">
          <w:rPr>
            <w:rStyle w:val="a7"/>
            <w:noProof/>
          </w:rPr>
          <w:t>13.</w:t>
        </w:r>
        <w:r w:rsidRPr="009D3A5E">
          <w:rPr>
            <w:rFonts w:ascii="Calibri" w:hAnsi="Calibri"/>
            <w:bCs w:val="0"/>
            <w:iCs w:val="0"/>
            <w:noProof/>
            <w:sz w:val="22"/>
            <w:szCs w:val="22"/>
          </w:rPr>
          <w:tab/>
        </w:r>
        <w:r w:rsidRPr="00B5106D">
          <w:rPr>
            <w:rStyle w:val="a7"/>
            <w:noProof/>
          </w:rPr>
          <w:t>Контроль актуализации</w:t>
        </w:r>
        <w:r>
          <w:rPr>
            <w:noProof/>
            <w:webHidden/>
          </w:rPr>
          <w:tab/>
        </w:r>
        <w:r>
          <w:rPr>
            <w:noProof/>
            <w:webHidden/>
          </w:rPr>
          <w:fldChar w:fldCharType="begin"/>
        </w:r>
        <w:r>
          <w:rPr>
            <w:noProof/>
            <w:webHidden/>
          </w:rPr>
          <w:instrText xml:space="preserve"> PAGEREF _Toc370295581 \h </w:instrText>
        </w:r>
        <w:r>
          <w:rPr>
            <w:noProof/>
            <w:webHidden/>
          </w:rPr>
        </w:r>
        <w:r>
          <w:rPr>
            <w:noProof/>
            <w:webHidden/>
          </w:rPr>
          <w:fldChar w:fldCharType="separate"/>
        </w:r>
        <w:r>
          <w:rPr>
            <w:noProof/>
            <w:webHidden/>
          </w:rPr>
          <w:t>22</w:t>
        </w:r>
        <w:r>
          <w:rPr>
            <w:noProof/>
            <w:webHidden/>
          </w:rPr>
          <w:fldChar w:fldCharType="end"/>
        </w:r>
      </w:hyperlink>
    </w:p>
    <w:p w:rsidR="00EB2DE4" w:rsidRPr="009D3A5E" w:rsidRDefault="00EB2DE4" w:rsidP="00EB2DE4">
      <w:pPr>
        <w:pStyle w:val="11"/>
        <w:tabs>
          <w:tab w:val="left" w:pos="720"/>
          <w:tab w:val="right" w:leader="dot" w:pos="9627"/>
        </w:tabs>
        <w:rPr>
          <w:rFonts w:ascii="Calibri" w:hAnsi="Calibri"/>
          <w:bCs w:val="0"/>
          <w:iCs w:val="0"/>
          <w:noProof/>
          <w:sz w:val="22"/>
          <w:szCs w:val="22"/>
        </w:rPr>
      </w:pPr>
      <w:hyperlink w:anchor="_Toc370295582" w:history="1">
        <w:r w:rsidRPr="00B5106D">
          <w:rPr>
            <w:rStyle w:val="a7"/>
            <w:noProof/>
          </w:rPr>
          <w:t>14.</w:t>
        </w:r>
        <w:r w:rsidRPr="009D3A5E">
          <w:rPr>
            <w:rFonts w:ascii="Calibri" w:hAnsi="Calibri"/>
            <w:bCs w:val="0"/>
            <w:iCs w:val="0"/>
            <w:noProof/>
            <w:sz w:val="22"/>
            <w:szCs w:val="22"/>
          </w:rPr>
          <w:tab/>
        </w:r>
        <w:r w:rsidRPr="00B5106D">
          <w:rPr>
            <w:rStyle w:val="a7"/>
            <w:noProof/>
          </w:rPr>
          <w:t>Права доступа к документу</w:t>
        </w:r>
        <w:r>
          <w:rPr>
            <w:noProof/>
            <w:webHidden/>
          </w:rPr>
          <w:tab/>
        </w:r>
        <w:r>
          <w:rPr>
            <w:noProof/>
            <w:webHidden/>
          </w:rPr>
          <w:fldChar w:fldCharType="begin"/>
        </w:r>
        <w:r>
          <w:rPr>
            <w:noProof/>
            <w:webHidden/>
          </w:rPr>
          <w:instrText xml:space="preserve"> PAGEREF _Toc370295582 \h </w:instrText>
        </w:r>
        <w:r>
          <w:rPr>
            <w:noProof/>
            <w:webHidden/>
          </w:rPr>
        </w:r>
        <w:r>
          <w:rPr>
            <w:noProof/>
            <w:webHidden/>
          </w:rPr>
          <w:fldChar w:fldCharType="separate"/>
        </w:r>
        <w:r>
          <w:rPr>
            <w:noProof/>
            <w:webHidden/>
          </w:rPr>
          <w:t>22</w:t>
        </w:r>
        <w:r>
          <w:rPr>
            <w:noProof/>
            <w:webHidden/>
          </w:rPr>
          <w:fldChar w:fldCharType="end"/>
        </w:r>
      </w:hyperlink>
    </w:p>
    <w:p w:rsidR="00EB2DE4" w:rsidRPr="009D3A5E" w:rsidRDefault="00EB2DE4" w:rsidP="00EB2DE4">
      <w:pPr>
        <w:pStyle w:val="11"/>
        <w:tabs>
          <w:tab w:val="right" w:leader="dot" w:pos="9627"/>
        </w:tabs>
        <w:rPr>
          <w:rFonts w:ascii="Calibri" w:hAnsi="Calibri"/>
          <w:bCs w:val="0"/>
          <w:iCs w:val="0"/>
          <w:noProof/>
          <w:sz w:val="22"/>
          <w:szCs w:val="22"/>
        </w:rPr>
      </w:pPr>
      <w:hyperlink w:anchor="_Toc370295583" w:history="1">
        <w:r w:rsidRPr="00B5106D">
          <w:rPr>
            <w:rStyle w:val="a7"/>
            <w:noProof/>
          </w:rPr>
          <w:t>Приложение № 1. Разграничение функциональных обязанностей по проведению финансово-экономической экспертизы</w:t>
        </w:r>
        <w:r>
          <w:rPr>
            <w:noProof/>
            <w:webHidden/>
          </w:rPr>
          <w:tab/>
        </w:r>
        <w:r>
          <w:rPr>
            <w:noProof/>
            <w:webHidden/>
          </w:rPr>
          <w:fldChar w:fldCharType="begin"/>
        </w:r>
        <w:r>
          <w:rPr>
            <w:noProof/>
            <w:webHidden/>
          </w:rPr>
          <w:instrText xml:space="preserve"> PAGEREF _Toc370295583 \h </w:instrText>
        </w:r>
        <w:r>
          <w:rPr>
            <w:noProof/>
            <w:webHidden/>
          </w:rPr>
        </w:r>
        <w:r>
          <w:rPr>
            <w:noProof/>
            <w:webHidden/>
          </w:rPr>
          <w:fldChar w:fldCharType="separate"/>
        </w:r>
        <w:r>
          <w:rPr>
            <w:noProof/>
            <w:webHidden/>
          </w:rPr>
          <w:t>23</w:t>
        </w:r>
        <w:r>
          <w:rPr>
            <w:noProof/>
            <w:webHidden/>
          </w:rPr>
          <w:fldChar w:fldCharType="end"/>
        </w:r>
      </w:hyperlink>
    </w:p>
    <w:p w:rsidR="00EB2DE4" w:rsidRPr="009D3A5E" w:rsidRDefault="00EB2DE4" w:rsidP="00EB2DE4">
      <w:pPr>
        <w:pStyle w:val="11"/>
        <w:tabs>
          <w:tab w:val="right" w:leader="dot" w:pos="9627"/>
        </w:tabs>
        <w:rPr>
          <w:rFonts w:ascii="Calibri" w:hAnsi="Calibri"/>
          <w:bCs w:val="0"/>
          <w:iCs w:val="0"/>
          <w:noProof/>
          <w:sz w:val="22"/>
          <w:szCs w:val="22"/>
        </w:rPr>
      </w:pPr>
      <w:hyperlink w:anchor="_Toc370295584" w:history="1">
        <w:r w:rsidRPr="00B5106D">
          <w:rPr>
            <w:rStyle w:val="a7"/>
            <w:noProof/>
          </w:rPr>
          <w:t>Приложение №2 Формат заключения</w:t>
        </w:r>
        <w:r>
          <w:rPr>
            <w:noProof/>
            <w:webHidden/>
          </w:rPr>
          <w:tab/>
        </w:r>
        <w:r>
          <w:rPr>
            <w:noProof/>
            <w:webHidden/>
          </w:rPr>
          <w:fldChar w:fldCharType="begin"/>
        </w:r>
        <w:r>
          <w:rPr>
            <w:noProof/>
            <w:webHidden/>
          </w:rPr>
          <w:instrText xml:space="preserve"> PAGEREF _Toc370295584 \h </w:instrText>
        </w:r>
        <w:r>
          <w:rPr>
            <w:noProof/>
            <w:webHidden/>
          </w:rPr>
        </w:r>
        <w:r>
          <w:rPr>
            <w:noProof/>
            <w:webHidden/>
          </w:rPr>
          <w:fldChar w:fldCharType="separate"/>
        </w:r>
        <w:r>
          <w:rPr>
            <w:noProof/>
            <w:webHidden/>
          </w:rPr>
          <w:t>25</w:t>
        </w:r>
        <w:r>
          <w:rPr>
            <w:noProof/>
            <w:webHidden/>
          </w:rPr>
          <w:fldChar w:fldCharType="end"/>
        </w:r>
      </w:hyperlink>
    </w:p>
    <w:p w:rsidR="00EB2DE4" w:rsidRDefault="00EB2DE4" w:rsidP="00EB2DE4">
      <w:pPr>
        <w:pStyle w:val="11"/>
        <w:tabs>
          <w:tab w:val="left" w:pos="480"/>
          <w:tab w:val="right" w:leader="dot" w:pos="9344"/>
        </w:tabs>
      </w:pPr>
      <w:r>
        <w:fldChar w:fldCharType="end"/>
      </w:r>
    </w:p>
    <w:p w:rsidR="00EB2DE4" w:rsidRPr="00E1449F" w:rsidRDefault="00EB2DE4" w:rsidP="00EB2DE4">
      <w:pPr>
        <w:pStyle w:val="1"/>
        <w:numPr>
          <w:ilvl w:val="0"/>
          <w:numId w:val="5"/>
        </w:numPr>
        <w:tabs>
          <w:tab w:val="left" w:pos="540"/>
        </w:tabs>
        <w:spacing w:after="240"/>
        <w:ind w:left="357" w:hanging="357"/>
        <w:rPr>
          <w:sz w:val="24"/>
          <w:szCs w:val="24"/>
        </w:rPr>
      </w:pPr>
      <w:r>
        <w:br w:type="page"/>
      </w:r>
      <w:bookmarkStart w:id="5" w:name="_Toc370229397"/>
      <w:bookmarkStart w:id="6" w:name="_Toc326067311"/>
      <w:bookmarkStart w:id="7" w:name="_Toc370229398"/>
      <w:bookmarkStart w:id="8" w:name="_Toc370295569"/>
      <w:bookmarkEnd w:id="5"/>
      <w:r w:rsidRPr="00E1449F">
        <w:rPr>
          <w:sz w:val="24"/>
          <w:szCs w:val="24"/>
        </w:rPr>
        <w:lastRenderedPageBreak/>
        <w:t>Термины и определения</w:t>
      </w:r>
      <w:bookmarkEnd w:id="1"/>
      <w:bookmarkEnd w:id="2"/>
      <w:bookmarkEnd w:id="3"/>
      <w:bookmarkEnd w:id="4"/>
      <w:bookmarkEnd w:id="6"/>
      <w:bookmarkEnd w:id="7"/>
      <w:bookmarkEnd w:id="8"/>
    </w:p>
    <w:tbl>
      <w:tblPr>
        <w:tblW w:w="9508" w:type="dxa"/>
        <w:tblInd w:w="98" w:type="dxa"/>
        <w:tblLook w:val="04A0" w:firstRow="1" w:lastRow="0" w:firstColumn="1" w:lastColumn="0" w:noHBand="0" w:noVBand="1"/>
      </w:tblPr>
      <w:tblGrid>
        <w:gridCol w:w="3520"/>
        <w:gridCol w:w="5988"/>
        <w:tblGridChange w:id="9">
          <w:tblGrid>
            <w:gridCol w:w="3520"/>
            <w:gridCol w:w="5988"/>
          </w:tblGrid>
        </w:tblGridChange>
      </w:tblGrid>
      <w:tr w:rsidR="00EB2DE4" w:rsidRPr="00B81A32" w:rsidTr="00C162FA">
        <w:trPr>
          <w:cantSplit/>
          <w:trHeight w:val="497"/>
        </w:trPr>
        <w:tc>
          <w:tcPr>
            <w:tcW w:w="3520" w:type="dxa"/>
            <w:tcBorders>
              <w:top w:val="single" w:sz="8" w:space="0" w:color="auto"/>
              <w:left w:val="single" w:sz="8" w:space="0" w:color="auto"/>
              <w:bottom w:val="single" w:sz="8" w:space="0" w:color="auto"/>
              <w:right w:val="single" w:sz="8" w:space="0" w:color="auto"/>
            </w:tcBorders>
            <w:shd w:val="clear" w:color="000000" w:fill="CCCCCC"/>
            <w:vAlign w:val="center"/>
          </w:tcPr>
          <w:p w:rsidR="00EB2DE4" w:rsidRPr="00B81A32" w:rsidRDefault="00EB2DE4" w:rsidP="00C162FA">
            <w:pPr>
              <w:jc w:val="center"/>
              <w:rPr>
                <w:rFonts w:ascii="Arial" w:hAnsi="Arial" w:cs="Arial"/>
                <w:b/>
                <w:bCs/>
                <w:color w:val="000000"/>
                <w:sz w:val="20"/>
                <w:szCs w:val="20"/>
              </w:rPr>
            </w:pPr>
            <w:r w:rsidRPr="00B81A32">
              <w:rPr>
                <w:rFonts w:ascii="Arial" w:hAnsi="Arial" w:cs="Arial"/>
                <w:b/>
                <w:bCs/>
                <w:color w:val="000000"/>
                <w:sz w:val="20"/>
                <w:szCs w:val="20"/>
              </w:rPr>
              <w:t>Термин/Сокращение</w:t>
            </w:r>
          </w:p>
        </w:tc>
        <w:tc>
          <w:tcPr>
            <w:tcW w:w="5988" w:type="dxa"/>
            <w:tcBorders>
              <w:top w:val="single" w:sz="8" w:space="0" w:color="auto"/>
              <w:left w:val="nil"/>
              <w:bottom w:val="single" w:sz="8" w:space="0" w:color="auto"/>
              <w:right w:val="single" w:sz="8" w:space="0" w:color="auto"/>
            </w:tcBorders>
            <w:shd w:val="clear" w:color="000000" w:fill="CCCCCC"/>
            <w:vAlign w:val="center"/>
          </w:tcPr>
          <w:p w:rsidR="00EB2DE4" w:rsidRPr="00B81A32" w:rsidRDefault="00EB2DE4" w:rsidP="00C162FA">
            <w:pPr>
              <w:jc w:val="center"/>
              <w:rPr>
                <w:rFonts w:ascii="Arial" w:hAnsi="Arial" w:cs="Arial"/>
                <w:b/>
                <w:bCs/>
                <w:color w:val="000000"/>
                <w:sz w:val="20"/>
                <w:szCs w:val="20"/>
              </w:rPr>
            </w:pPr>
            <w:r w:rsidRPr="00B81A32">
              <w:rPr>
                <w:rFonts w:ascii="Arial" w:hAnsi="Arial" w:cs="Arial"/>
                <w:b/>
                <w:bCs/>
                <w:color w:val="000000"/>
                <w:sz w:val="20"/>
                <w:szCs w:val="20"/>
              </w:rPr>
              <w:t xml:space="preserve">Определение </w:t>
            </w:r>
          </w:p>
        </w:tc>
      </w:tr>
      <w:tr w:rsidR="00EB2DE4" w:rsidTr="00C162FA">
        <w:trPr>
          <w:cantSplit/>
          <w:trHeight w:val="78"/>
        </w:trPr>
        <w:tc>
          <w:tcPr>
            <w:tcW w:w="3520" w:type="dxa"/>
            <w:tcBorders>
              <w:top w:val="nil"/>
              <w:left w:val="single" w:sz="8" w:space="0" w:color="auto"/>
              <w:bottom w:val="single" w:sz="4" w:space="0" w:color="auto"/>
              <w:right w:val="single" w:sz="8" w:space="0" w:color="auto"/>
            </w:tcBorders>
            <w:shd w:val="clear" w:color="auto" w:fill="auto"/>
            <w:vAlign w:val="center"/>
          </w:tcPr>
          <w:p w:rsidR="00EB2DE4" w:rsidRDefault="00EB2DE4" w:rsidP="00C162FA">
            <w:pPr>
              <w:jc w:val="both"/>
              <w:rPr>
                <w:rFonts w:ascii="Arial" w:hAnsi="Arial" w:cs="Arial"/>
                <w:color w:val="000000"/>
              </w:rPr>
            </w:pPr>
          </w:p>
        </w:tc>
        <w:tc>
          <w:tcPr>
            <w:tcW w:w="5988" w:type="dxa"/>
            <w:tcBorders>
              <w:top w:val="nil"/>
              <w:left w:val="nil"/>
              <w:bottom w:val="single" w:sz="4" w:space="0" w:color="auto"/>
              <w:right w:val="single" w:sz="8" w:space="0" w:color="auto"/>
            </w:tcBorders>
            <w:shd w:val="clear" w:color="auto" w:fill="auto"/>
            <w:vAlign w:val="center"/>
          </w:tcPr>
          <w:p w:rsidR="00EB2DE4" w:rsidRDefault="00EB2DE4" w:rsidP="00C162FA">
            <w:pPr>
              <w:jc w:val="both"/>
              <w:rPr>
                <w:rFonts w:ascii="Arial" w:hAnsi="Arial" w:cs="Arial"/>
                <w:color w:val="000000"/>
              </w:rPr>
            </w:pPr>
          </w:p>
        </w:tc>
      </w:tr>
      <w:tr w:rsidR="00EB2DE4" w:rsidTr="00C162FA">
        <w:trPr>
          <w:cantSplit/>
          <w:trHeight w:val="78"/>
        </w:trPr>
        <w:tc>
          <w:tcPr>
            <w:tcW w:w="3520" w:type="dxa"/>
            <w:tcBorders>
              <w:top w:val="single" w:sz="4" w:space="0" w:color="auto"/>
              <w:left w:val="single" w:sz="4" w:space="0" w:color="auto"/>
              <w:bottom w:val="single" w:sz="4" w:space="0" w:color="auto"/>
              <w:right w:val="single" w:sz="8" w:space="0" w:color="auto"/>
            </w:tcBorders>
            <w:shd w:val="clear" w:color="auto" w:fill="auto"/>
            <w:vAlign w:val="center"/>
          </w:tcPr>
          <w:p w:rsidR="00EB2DE4" w:rsidRDefault="00EB2DE4" w:rsidP="00C162FA">
            <w:pPr>
              <w:jc w:val="both"/>
              <w:rPr>
                <w:rFonts w:ascii="Arial" w:hAnsi="Arial" w:cs="Arial"/>
                <w:color w:val="000000"/>
              </w:rPr>
            </w:pPr>
            <w:r>
              <w:rPr>
                <w:rFonts w:ascii="Arial" w:hAnsi="Arial" w:cs="Arial"/>
                <w:color w:val="000000"/>
              </w:rPr>
              <w:t>Бизнес-дивизион «Электрогенерация»</w:t>
            </w:r>
          </w:p>
        </w:tc>
        <w:tc>
          <w:tcPr>
            <w:tcW w:w="5988" w:type="dxa"/>
            <w:tcBorders>
              <w:top w:val="single" w:sz="4" w:space="0" w:color="auto"/>
              <w:left w:val="nil"/>
              <w:bottom w:val="single" w:sz="4" w:space="0" w:color="auto"/>
              <w:right w:val="single" w:sz="4" w:space="0" w:color="auto"/>
            </w:tcBorders>
            <w:shd w:val="clear" w:color="auto" w:fill="auto"/>
            <w:vAlign w:val="center"/>
          </w:tcPr>
          <w:p w:rsidR="00EB2DE4" w:rsidRPr="00E1449F" w:rsidRDefault="00EB2DE4" w:rsidP="00C162FA">
            <w:pPr>
              <w:jc w:val="both"/>
              <w:rPr>
                <w:rFonts w:ascii="Arial" w:hAnsi="Arial" w:cs="Arial"/>
              </w:rPr>
            </w:pPr>
            <w:r w:rsidRPr="00E1449F">
              <w:rPr>
                <w:rFonts w:ascii="Arial" w:hAnsi="Arial" w:cs="Arial"/>
              </w:rPr>
              <w:t>Общество и Управляемые общества.</w:t>
            </w:r>
          </w:p>
        </w:tc>
      </w:tr>
      <w:tr w:rsidR="00EB2DE4" w:rsidTr="00C162FA">
        <w:trPr>
          <w:cantSplit/>
          <w:trHeight w:val="78"/>
        </w:trPr>
        <w:tc>
          <w:tcPr>
            <w:tcW w:w="3520" w:type="dxa"/>
            <w:tcBorders>
              <w:top w:val="single" w:sz="4" w:space="0" w:color="auto"/>
              <w:left w:val="single" w:sz="4" w:space="0" w:color="auto"/>
              <w:bottom w:val="single" w:sz="4" w:space="0" w:color="auto"/>
              <w:right w:val="single" w:sz="8" w:space="0" w:color="auto"/>
            </w:tcBorders>
            <w:shd w:val="clear" w:color="auto" w:fill="auto"/>
            <w:vAlign w:val="center"/>
          </w:tcPr>
          <w:p w:rsidR="00EB2DE4" w:rsidRDefault="00EB2DE4" w:rsidP="00C162FA">
            <w:pPr>
              <w:jc w:val="both"/>
              <w:rPr>
                <w:rFonts w:ascii="Arial" w:hAnsi="Arial" w:cs="Arial"/>
                <w:color w:val="000000"/>
              </w:rPr>
            </w:pPr>
            <w:r>
              <w:rPr>
                <w:rFonts w:ascii="Arial" w:hAnsi="Arial" w:cs="Arial"/>
                <w:color w:val="000000"/>
              </w:rPr>
              <w:t>Общество</w:t>
            </w:r>
          </w:p>
        </w:tc>
        <w:tc>
          <w:tcPr>
            <w:tcW w:w="5988" w:type="dxa"/>
            <w:tcBorders>
              <w:top w:val="single" w:sz="4" w:space="0" w:color="auto"/>
              <w:left w:val="nil"/>
              <w:bottom w:val="single" w:sz="4" w:space="0" w:color="auto"/>
              <w:right w:val="single" w:sz="4" w:space="0" w:color="auto"/>
            </w:tcBorders>
            <w:shd w:val="clear" w:color="auto" w:fill="auto"/>
            <w:vAlign w:val="center"/>
          </w:tcPr>
          <w:p w:rsidR="00EB2DE4" w:rsidRPr="00E1449F" w:rsidRDefault="00EB2DE4" w:rsidP="00C162FA">
            <w:pPr>
              <w:jc w:val="both"/>
              <w:rPr>
                <w:rFonts w:ascii="Arial" w:hAnsi="Arial" w:cs="Arial"/>
              </w:rPr>
            </w:pPr>
            <w:r w:rsidRPr="00E1449F">
              <w:rPr>
                <w:rFonts w:ascii="Arial" w:hAnsi="Arial" w:cs="Arial"/>
              </w:rPr>
              <w:t>ООО «ИНТЕР РАО – Управление электрогенерацией».</w:t>
            </w:r>
          </w:p>
        </w:tc>
      </w:tr>
      <w:tr w:rsidR="00EB2DE4" w:rsidTr="00C162FA">
        <w:trPr>
          <w:cantSplit/>
          <w:trHeight w:val="78"/>
        </w:trPr>
        <w:tc>
          <w:tcPr>
            <w:tcW w:w="3520" w:type="dxa"/>
            <w:tcBorders>
              <w:top w:val="single" w:sz="4" w:space="0" w:color="auto"/>
              <w:left w:val="single" w:sz="4" w:space="0" w:color="auto"/>
              <w:bottom w:val="single" w:sz="4" w:space="0" w:color="auto"/>
              <w:right w:val="single" w:sz="8" w:space="0" w:color="auto"/>
            </w:tcBorders>
            <w:shd w:val="clear" w:color="auto" w:fill="auto"/>
            <w:vAlign w:val="center"/>
          </w:tcPr>
          <w:p w:rsidR="00EB2DE4" w:rsidRDefault="00EB2DE4" w:rsidP="00C162FA">
            <w:pPr>
              <w:jc w:val="both"/>
              <w:rPr>
                <w:rFonts w:ascii="Arial" w:hAnsi="Arial" w:cs="Arial"/>
                <w:color w:val="000000"/>
              </w:rPr>
            </w:pPr>
            <w:r>
              <w:rPr>
                <w:rFonts w:ascii="Arial" w:hAnsi="Arial" w:cs="Arial"/>
                <w:color w:val="000000"/>
              </w:rPr>
              <w:t>Группа «Интер РАО» (Группа)</w:t>
            </w:r>
          </w:p>
        </w:tc>
        <w:tc>
          <w:tcPr>
            <w:tcW w:w="5988" w:type="dxa"/>
            <w:tcBorders>
              <w:top w:val="single" w:sz="4" w:space="0" w:color="auto"/>
              <w:left w:val="nil"/>
              <w:bottom w:val="single" w:sz="4" w:space="0" w:color="auto"/>
              <w:right w:val="single" w:sz="4" w:space="0" w:color="auto"/>
            </w:tcBorders>
            <w:shd w:val="clear" w:color="auto" w:fill="auto"/>
            <w:vAlign w:val="center"/>
          </w:tcPr>
          <w:p w:rsidR="00EB2DE4" w:rsidRPr="00E1449F" w:rsidRDefault="00EB2DE4" w:rsidP="00C162FA">
            <w:pPr>
              <w:jc w:val="both"/>
              <w:rPr>
                <w:rFonts w:ascii="Arial" w:hAnsi="Arial" w:cs="Arial"/>
              </w:rPr>
            </w:pPr>
            <w:r w:rsidRPr="00E1449F">
              <w:rPr>
                <w:rFonts w:ascii="Arial" w:hAnsi="Arial" w:cs="Arial"/>
              </w:rPr>
              <w:t>ОАО «Интер РАО» и его ДЗО/ВЗО.</w:t>
            </w:r>
          </w:p>
        </w:tc>
      </w:tr>
      <w:tr w:rsidR="00EB2DE4" w:rsidTr="00C162FA">
        <w:trPr>
          <w:cantSplit/>
          <w:trHeight w:val="78"/>
        </w:trPr>
        <w:tc>
          <w:tcPr>
            <w:tcW w:w="3520" w:type="dxa"/>
            <w:tcBorders>
              <w:top w:val="single" w:sz="4" w:space="0" w:color="auto"/>
              <w:left w:val="single" w:sz="4" w:space="0" w:color="auto"/>
              <w:bottom w:val="single" w:sz="4" w:space="0" w:color="auto"/>
              <w:right w:val="single" w:sz="8" w:space="0" w:color="auto"/>
            </w:tcBorders>
            <w:shd w:val="clear" w:color="auto" w:fill="auto"/>
            <w:vAlign w:val="center"/>
          </w:tcPr>
          <w:p w:rsidR="00EB2DE4" w:rsidRDefault="00EB2DE4" w:rsidP="00C162FA">
            <w:pPr>
              <w:jc w:val="both"/>
              <w:rPr>
                <w:rFonts w:ascii="Arial" w:hAnsi="Arial" w:cs="Arial"/>
                <w:color w:val="000000"/>
              </w:rPr>
            </w:pPr>
            <w:r>
              <w:rPr>
                <w:rFonts w:ascii="Arial" w:hAnsi="Arial" w:cs="Arial"/>
                <w:color w:val="000000"/>
              </w:rPr>
              <w:t>Управляемое общество</w:t>
            </w:r>
          </w:p>
        </w:tc>
        <w:tc>
          <w:tcPr>
            <w:tcW w:w="5988" w:type="dxa"/>
            <w:tcBorders>
              <w:top w:val="single" w:sz="4" w:space="0" w:color="auto"/>
              <w:left w:val="nil"/>
              <w:bottom w:val="single" w:sz="4" w:space="0" w:color="auto"/>
              <w:right w:val="single" w:sz="4" w:space="0" w:color="auto"/>
            </w:tcBorders>
            <w:shd w:val="clear" w:color="auto" w:fill="auto"/>
            <w:vAlign w:val="center"/>
          </w:tcPr>
          <w:p w:rsidR="00EB2DE4" w:rsidRPr="009760EC" w:rsidRDefault="00EB2DE4" w:rsidP="00C162FA">
            <w:pPr>
              <w:jc w:val="both"/>
              <w:rPr>
                <w:rFonts w:cs="Arial"/>
                <w:color w:val="000000"/>
              </w:rPr>
            </w:pPr>
            <w:r w:rsidRPr="00787AE0">
              <w:rPr>
                <w:rFonts w:ascii="Arial" w:hAnsi="Arial" w:cs="Arial"/>
              </w:rPr>
              <w:t>ДЗО Группы</w:t>
            </w:r>
            <w:r>
              <w:rPr>
                <w:rFonts w:ascii="Arial" w:hAnsi="Arial" w:cs="Arial"/>
              </w:rPr>
              <w:t>, с которым у Общества заключен</w:t>
            </w:r>
            <w:r w:rsidRPr="00787AE0">
              <w:rPr>
                <w:rFonts w:ascii="Arial" w:hAnsi="Arial" w:cs="Arial"/>
              </w:rPr>
              <w:t xml:space="preserve"> договор о передаче полномочий единоличного исполнительного органа</w:t>
            </w:r>
            <w:r>
              <w:rPr>
                <w:rFonts w:ascii="Arial" w:hAnsi="Arial" w:cs="Arial"/>
              </w:rPr>
              <w:t>.</w:t>
            </w:r>
          </w:p>
        </w:tc>
      </w:tr>
      <w:tr w:rsidR="00EB2DE4" w:rsidTr="00C162FA">
        <w:trPr>
          <w:cantSplit/>
          <w:trHeight w:val="78"/>
        </w:trPr>
        <w:tc>
          <w:tcPr>
            <w:tcW w:w="3520" w:type="dxa"/>
            <w:tcBorders>
              <w:top w:val="single" w:sz="4" w:space="0" w:color="auto"/>
              <w:left w:val="single" w:sz="4" w:space="0" w:color="auto"/>
              <w:bottom w:val="single" w:sz="4" w:space="0" w:color="auto"/>
              <w:right w:val="single" w:sz="8" w:space="0" w:color="auto"/>
            </w:tcBorders>
            <w:shd w:val="clear" w:color="auto" w:fill="auto"/>
            <w:vAlign w:val="center"/>
          </w:tcPr>
          <w:p w:rsidR="00EB2DE4" w:rsidRDefault="00EB2DE4" w:rsidP="00C162FA">
            <w:pPr>
              <w:jc w:val="both"/>
              <w:rPr>
                <w:rFonts w:ascii="Arial" w:hAnsi="Arial" w:cs="Arial"/>
                <w:color w:val="000000"/>
              </w:rPr>
            </w:pPr>
            <w:r>
              <w:rPr>
                <w:rFonts w:ascii="Arial" w:hAnsi="Arial" w:cs="Arial"/>
                <w:color w:val="000000"/>
              </w:rPr>
              <w:t>Финансово-экономическая экспертиза</w:t>
            </w:r>
          </w:p>
        </w:tc>
        <w:tc>
          <w:tcPr>
            <w:tcW w:w="5988" w:type="dxa"/>
            <w:tcBorders>
              <w:top w:val="single" w:sz="4" w:space="0" w:color="auto"/>
              <w:left w:val="nil"/>
              <w:bottom w:val="single" w:sz="4" w:space="0" w:color="auto"/>
              <w:right w:val="single" w:sz="4" w:space="0" w:color="auto"/>
            </w:tcBorders>
            <w:shd w:val="clear" w:color="auto" w:fill="auto"/>
            <w:vAlign w:val="center"/>
          </w:tcPr>
          <w:p w:rsidR="00EB2DE4" w:rsidRPr="00451D7F" w:rsidRDefault="00EB2DE4" w:rsidP="00C162FA">
            <w:pPr>
              <w:jc w:val="both"/>
              <w:rPr>
                <w:rFonts w:ascii="Arial" w:hAnsi="Arial" w:cs="Arial"/>
                <w:color w:val="000000"/>
              </w:rPr>
            </w:pPr>
            <w:r>
              <w:rPr>
                <w:rFonts w:ascii="Arial" w:hAnsi="Arial" w:cs="Arial"/>
                <w:color w:val="000000"/>
              </w:rPr>
              <w:t xml:space="preserve">Оценка устойчивости участников закупочных процедур с позиции финансово-экономических критериев, проводимая для определения соответствия и ранжирования предложений участников закупочных процедур </w:t>
            </w:r>
            <w:r w:rsidRPr="009E1616">
              <w:rPr>
                <w:rFonts w:ascii="Arial" w:hAnsi="Arial" w:cs="Arial"/>
                <w:color w:val="000000"/>
              </w:rPr>
              <w:t>бизнес-дивизиона «Электрогенерация»</w:t>
            </w:r>
            <w:r>
              <w:rPr>
                <w:rFonts w:ascii="Arial" w:hAnsi="Arial" w:cs="Arial"/>
                <w:color w:val="000000"/>
              </w:rPr>
              <w:t xml:space="preserve"> в рамках деятельности экспертной</w:t>
            </w:r>
            <w:r w:rsidRPr="00451D7F">
              <w:rPr>
                <w:rFonts w:ascii="Arial" w:hAnsi="Arial" w:cs="Arial"/>
                <w:color w:val="000000"/>
              </w:rPr>
              <w:t xml:space="preserve"> </w:t>
            </w:r>
            <w:r>
              <w:rPr>
                <w:rFonts w:ascii="Arial" w:hAnsi="Arial" w:cs="Arial"/>
                <w:color w:val="000000"/>
              </w:rPr>
              <w:t xml:space="preserve">группы и/или закупочной комиссии. </w:t>
            </w:r>
          </w:p>
        </w:tc>
      </w:tr>
    </w:tbl>
    <w:p w:rsidR="00EB2DE4" w:rsidRPr="00D651BF" w:rsidRDefault="00EB2DE4" w:rsidP="00EB2DE4">
      <w:pPr>
        <w:pStyle w:val="1"/>
        <w:numPr>
          <w:ilvl w:val="0"/>
          <w:numId w:val="5"/>
        </w:numPr>
        <w:tabs>
          <w:tab w:val="left" w:pos="540"/>
        </w:tabs>
        <w:spacing w:after="240"/>
        <w:ind w:left="539" w:hanging="539"/>
        <w:rPr>
          <w:sz w:val="24"/>
          <w:szCs w:val="24"/>
        </w:rPr>
      </w:pPr>
      <w:bookmarkStart w:id="10" w:name="_Toc370229400"/>
      <w:bookmarkStart w:id="11" w:name="_Toc314226152"/>
      <w:bookmarkStart w:id="12" w:name="_Toc322961171"/>
      <w:bookmarkStart w:id="13" w:name="_Toc326066006"/>
      <w:bookmarkStart w:id="14" w:name="_Toc326066276"/>
      <w:bookmarkStart w:id="15" w:name="_Toc326067312"/>
      <w:bookmarkStart w:id="16" w:name="_Toc370295570"/>
      <w:bookmarkEnd w:id="10"/>
      <w:r w:rsidRPr="00D651BF">
        <w:rPr>
          <w:sz w:val="24"/>
          <w:szCs w:val="24"/>
        </w:rPr>
        <w:t>Нормативные ссылки</w:t>
      </w:r>
      <w:bookmarkEnd w:id="16"/>
    </w:p>
    <w:p w:rsidR="00EB2DE4" w:rsidRDefault="00EB2DE4" w:rsidP="00EB2DE4">
      <w:pPr>
        <w:numPr>
          <w:ilvl w:val="1"/>
          <w:numId w:val="5"/>
        </w:numPr>
        <w:tabs>
          <w:tab w:val="clear" w:pos="792"/>
          <w:tab w:val="num" w:pos="574"/>
          <w:tab w:val="num" w:pos="709"/>
        </w:tabs>
        <w:spacing w:after="60"/>
        <w:ind w:left="0" w:firstLine="0"/>
        <w:jc w:val="both"/>
        <w:rPr>
          <w:rFonts w:ascii="Arial" w:hAnsi="Arial" w:cs="Arial"/>
        </w:rPr>
      </w:pPr>
      <w:r w:rsidRPr="006E4F46">
        <w:rPr>
          <w:rFonts w:ascii="Arial" w:hAnsi="Arial" w:cs="Arial"/>
        </w:rPr>
        <w:t>Положение о порядке и проведения регламентированных закупок, товаров. работ, услуг для нужд ОАО «ИНТЕР РАО – Электрогенерация» (утверждено Советом директоров ОАО «ИНТЕР РАО – Электрогенерация», протокол № 55 от 05 февраля 2013 г.)</w:t>
      </w:r>
    </w:p>
    <w:p w:rsidR="00EB2DE4" w:rsidRPr="006069D1" w:rsidRDefault="00EB2DE4" w:rsidP="00EB2DE4">
      <w:pPr>
        <w:numPr>
          <w:ilvl w:val="1"/>
          <w:numId w:val="5"/>
        </w:numPr>
        <w:tabs>
          <w:tab w:val="clear" w:pos="792"/>
          <w:tab w:val="num" w:pos="574"/>
          <w:tab w:val="num" w:pos="709"/>
        </w:tabs>
        <w:spacing w:after="60"/>
        <w:ind w:left="0" w:firstLine="0"/>
        <w:jc w:val="both"/>
        <w:rPr>
          <w:rFonts w:ascii="Arial" w:hAnsi="Arial" w:cs="Arial"/>
        </w:rPr>
      </w:pPr>
      <w:r w:rsidRPr="006069D1">
        <w:rPr>
          <w:rFonts w:ascii="Arial" w:hAnsi="Arial" w:cs="Arial"/>
        </w:rPr>
        <w:t>Положение о порядке и проведения регламентированных закупок, товаров. работ, услуг для нужд ООО «ИНТЕР РАО – Управление электрогенерацией» (утверждено Советом директоров ООО «ИНТЕР РАО – Управление электрогенерацией», протокол № 66 от 28 июня 2013 г.)</w:t>
      </w:r>
    </w:p>
    <w:p w:rsidR="00EB2DE4" w:rsidRDefault="00EB2DE4" w:rsidP="00EB2DE4">
      <w:pPr>
        <w:numPr>
          <w:ilvl w:val="1"/>
          <w:numId w:val="5"/>
        </w:numPr>
        <w:tabs>
          <w:tab w:val="clear" w:pos="792"/>
          <w:tab w:val="num" w:pos="574"/>
        </w:tabs>
        <w:spacing w:after="60"/>
        <w:ind w:left="0" w:firstLine="0"/>
        <w:jc w:val="both"/>
        <w:rPr>
          <w:rFonts w:ascii="Arial" w:hAnsi="Arial" w:cs="Arial"/>
        </w:rPr>
      </w:pPr>
      <w:r w:rsidRPr="00254837">
        <w:rPr>
          <w:rFonts w:ascii="Arial" w:hAnsi="Arial" w:cs="Arial"/>
        </w:rPr>
        <w:t>Регламент бизнес-процесса проведения закупочных процедур бизнес-</w:t>
      </w:r>
      <w:r>
        <w:rPr>
          <w:rFonts w:ascii="Arial" w:hAnsi="Arial" w:cs="Arial"/>
        </w:rPr>
        <w:t xml:space="preserve">дивизиона «Электрогенерация» (утверждена приказом от 28.05.2013 </w:t>
      </w:r>
      <w:r w:rsidRPr="00671393">
        <w:rPr>
          <w:rFonts w:ascii="Arial" w:hAnsi="Arial" w:cs="Arial"/>
        </w:rPr>
        <w:t>№ УЭГ/285/ЭГ/244</w:t>
      </w:r>
      <w:r>
        <w:rPr>
          <w:rFonts w:ascii="Arial" w:hAnsi="Arial" w:cs="Arial"/>
        </w:rPr>
        <w:t>)</w:t>
      </w:r>
    </w:p>
    <w:p w:rsidR="00EB2DE4" w:rsidRPr="00671393" w:rsidRDefault="00EB2DE4" w:rsidP="00EB2DE4">
      <w:pPr>
        <w:numPr>
          <w:ilvl w:val="1"/>
          <w:numId w:val="5"/>
        </w:numPr>
        <w:tabs>
          <w:tab w:val="clear" w:pos="792"/>
          <w:tab w:val="num" w:pos="574"/>
        </w:tabs>
        <w:spacing w:after="60"/>
        <w:ind w:left="0" w:firstLine="0"/>
        <w:jc w:val="both"/>
        <w:rPr>
          <w:rFonts w:ascii="Arial" w:hAnsi="Arial" w:cs="Arial"/>
        </w:rPr>
      </w:pPr>
      <w:r w:rsidRPr="00254837">
        <w:rPr>
          <w:rFonts w:ascii="Arial" w:hAnsi="Arial" w:cs="Arial"/>
        </w:rPr>
        <w:t>Положение о закупочной комиссии бизнес-дивизиона «Электрогенерация»</w:t>
      </w:r>
      <w:r w:rsidRPr="00254837">
        <w:t xml:space="preserve"> </w:t>
      </w:r>
      <w:r w:rsidRPr="00254837">
        <w:rPr>
          <w:rFonts w:ascii="Arial" w:hAnsi="Arial" w:cs="Arial"/>
        </w:rPr>
        <w:t>(утверждена приказом от 28.05.2013 № УЭГ/285/ЭГ/244)</w:t>
      </w:r>
    </w:p>
    <w:p w:rsidR="00EB2DE4" w:rsidRPr="0096793A" w:rsidRDefault="00EB2DE4" w:rsidP="00EB2DE4">
      <w:pPr>
        <w:numPr>
          <w:ilvl w:val="1"/>
          <w:numId w:val="5"/>
        </w:numPr>
        <w:tabs>
          <w:tab w:val="clear" w:pos="792"/>
          <w:tab w:val="num" w:pos="0"/>
          <w:tab w:val="num" w:pos="574"/>
        </w:tabs>
        <w:spacing w:after="60"/>
        <w:ind w:left="0" w:firstLine="0"/>
        <w:jc w:val="both"/>
        <w:rPr>
          <w:rFonts w:ascii="Arial" w:hAnsi="Arial" w:cs="Arial"/>
        </w:rPr>
      </w:pPr>
      <w:r w:rsidRPr="00E1449F">
        <w:rPr>
          <w:rFonts w:ascii="Arial" w:hAnsi="Arial" w:cs="Arial"/>
        </w:rPr>
        <w:t>Методик</w:t>
      </w:r>
      <w:r>
        <w:rPr>
          <w:rFonts w:ascii="Arial" w:hAnsi="Arial" w:cs="Arial"/>
        </w:rPr>
        <w:t>а</w:t>
      </w:r>
      <w:r w:rsidRPr="00E1449F">
        <w:rPr>
          <w:rFonts w:ascii="Arial" w:hAnsi="Arial" w:cs="Arial"/>
        </w:rPr>
        <w:t xml:space="preserve"> оценки и ограничения кредитного риска по операциям с банками-контрагентами и прочими финансовыми организациями</w:t>
      </w:r>
      <w:r>
        <w:rPr>
          <w:rFonts w:ascii="Arial" w:hAnsi="Arial" w:cs="Arial"/>
        </w:rPr>
        <w:t xml:space="preserve"> (</w:t>
      </w:r>
      <w:r w:rsidRPr="00E1449F">
        <w:rPr>
          <w:rFonts w:ascii="Arial" w:hAnsi="Arial" w:cs="Arial"/>
        </w:rPr>
        <w:t>утвержден</w:t>
      </w:r>
      <w:r>
        <w:rPr>
          <w:rFonts w:ascii="Arial" w:hAnsi="Arial" w:cs="Arial"/>
        </w:rPr>
        <w:t>а</w:t>
      </w:r>
      <w:r w:rsidRPr="00E1449F">
        <w:rPr>
          <w:rFonts w:ascii="Arial" w:hAnsi="Arial" w:cs="Arial"/>
        </w:rPr>
        <w:t xml:space="preserve"> приказом от 29.05.2012 № ИРАО/327</w:t>
      </w:r>
      <w:r>
        <w:rPr>
          <w:rFonts w:ascii="Arial" w:hAnsi="Arial" w:cs="Arial"/>
        </w:rPr>
        <w:t>)</w:t>
      </w:r>
      <w:r w:rsidRPr="00E1449F">
        <w:rPr>
          <w:rFonts w:ascii="Arial" w:hAnsi="Arial" w:cs="Arial"/>
        </w:rPr>
        <w:t>.</w:t>
      </w:r>
    </w:p>
    <w:p w:rsidR="00EB2DE4" w:rsidRPr="00311F04" w:rsidRDefault="00EB2DE4" w:rsidP="00EB2DE4">
      <w:pPr>
        <w:pStyle w:val="1"/>
        <w:numPr>
          <w:ilvl w:val="0"/>
          <w:numId w:val="5"/>
        </w:numPr>
        <w:tabs>
          <w:tab w:val="left" w:pos="540"/>
        </w:tabs>
        <w:spacing w:after="240"/>
        <w:ind w:left="539" w:hanging="539"/>
        <w:rPr>
          <w:sz w:val="24"/>
          <w:szCs w:val="24"/>
        </w:rPr>
      </w:pPr>
      <w:bookmarkStart w:id="17" w:name="_Toc370295571"/>
      <w:r w:rsidRPr="00311F04">
        <w:rPr>
          <w:sz w:val="24"/>
          <w:szCs w:val="24"/>
        </w:rPr>
        <w:t>Назначение и область применения</w:t>
      </w:r>
      <w:bookmarkEnd w:id="11"/>
      <w:bookmarkEnd w:id="12"/>
      <w:bookmarkEnd w:id="13"/>
      <w:bookmarkEnd w:id="14"/>
      <w:bookmarkEnd w:id="15"/>
      <w:bookmarkEnd w:id="17"/>
    </w:p>
    <w:p w:rsidR="00EB2DE4" w:rsidRDefault="00EB2DE4" w:rsidP="00EB2DE4">
      <w:pPr>
        <w:spacing w:after="60"/>
        <w:jc w:val="both"/>
        <w:rPr>
          <w:rFonts w:ascii="Arial" w:hAnsi="Arial" w:cs="Arial"/>
        </w:rPr>
      </w:pPr>
      <w:bookmarkStart w:id="18" w:name="_Toc145470728"/>
      <w:bookmarkStart w:id="19" w:name="_Toc145758338"/>
      <w:bookmarkStart w:id="20" w:name="_Toc145758464"/>
      <w:bookmarkStart w:id="21" w:name="_Toc145758988"/>
      <w:bookmarkStart w:id="22" w:name="_Toc145759251"/>
      <w:bookmarkStart w:id="23" w:name="_Toc145760285"/>
      <w:bookmarkStart w:id="24" w:name="_Toc162934410"/>
      <w:r>
        <w:rPr>
          <w:rFonts w:ascii="Arial" w:hAnsi="Arial" w:cs="Arial"/>
        </w:rPr>
        <w:t xml:space="preserve">3.1. </w:t>
      </w:r>
      <w:bookmarkStart w:id="25" w:name="_Toc322961173"/>
      <w:bookmarkStart w:id="26" w:name="_Toc326066008"/>
      <w:bookmarkStart w:id="27" w:name="_Toc326066278"/>
      <w:bookmarkEnd w:id="18"/>
      <w:bookmarkEnd w:id="19"/>
      <w:bookmarkEnd w:id="20"/>
      <w:bookmarkEnd w:id="21"/>
      <w:bookmarkEnd w:id="22"/>
      <w:bookmarkEnd w:id="23"/>
      <w:bookmarkEnd w:id="24"/>
      <w:r w:rsidRPr="009B014D">
        <w:rPr>
          <w:rFonts w:ascii="Arial" w:hAnsi="Arial" w:cs="Arial"/>
        </w:rPr>
        <w:t>Методика проведения экспертизы финансово-экономической устойчивости участников закупочных процедур</w:t>
      </w:r>
      <w:r w:rsidRPr="006344E7">
        <w:rPr>
          <w:rFonts w:ascii="Arial" w:hAnsi="Arial" w:cs="Arial"/>
        </w:rPr>
        <w:t xml:space="preserve"> </w:t>
      </w:r>
      <w:r>
        <w:rPr>
          <w:rFonts w:ascii="Arial" w:hAnsi="Arial" w:cs="Arial"/>
        </w:rPr>
        <w:t>(далее – м</w:t>
      </w:r>
      <w:r w:rsidRPr="006344E7">
        <w:rPr>
          <w:rFonts w:ascii="Arial" w:hAnsi="Arial" w:cs="Arial"/>
        </w:rPr>
        <w:t>етодика</w:t>
      </w:r>
      <w:r>
        <w:rPr>
          <w:rFonts w:ascii="Arial" w:hAnsi="Arial" w:cs="Arial"/>
        </w:rPr>
        <w:t>)</w:t>
      </w:r>
      <w:r w:rsidRPr="006344E7">
        <w:rPr>
          <w:rFonts w:ascii="Arial" w:hAnsi="Arial" w:cs="Arial"/>
        </w:rPr>
        <w:t xml:space="preserve">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w:t>
      </w:r>
      <w:r w:rsidRPr="006344E7">
        <w:rPr>
          <w:rFonts w:ascii="Arial" w:hAnsi="Arial" w:cs="Arial"/>
        </w:rPr>
        <w:lastRenderedPageBreak/>
        <w:t xml:space="preserve">достижение сопоставимости оценок, полученных экспертными группами и/или закупочными комиссиями, повышение обоснованности принимаемых управленческих решений по ранжированию предложений участников и выбору победителя </w:t>
      </w:r>
      <w:r>
        <w:rPr>
          <w:rFonts w:ascii="Arial" w:hAnsi="Arial" w:cs="Arial"/>
        </w:rPr>
        <w:t>конкурентной</w:t>
      </w:r>
      <w:r w:rsidRPr="006344E7">
        <w:rPr>
          <w:rFonts w:ascii="Arial" w:hAnsi="Arial" w:cs="Arial"/>
        </w:rPr>
        <w:t xml:space="preserve"> закупочной процедуры.</w:t>
      </w:r>
      <w:bookmarkEnd w:id="25"/>
      <w:bookmarkEnd w:id="26"/>
      <w:bookmarkEnd w:id="27"/>
    </w:p>
    <w:p w:rsidR="00EB2DE4" w:rsidRPr="006344E7" w:rsidRDefault="00EB2DE4" w:rsidP="00EB2DE4">
      <w:pPr>
        <w:spacing w:after="60"/>
        <w:jc w:val="both"/>
        <w:rPr>
          <w:rFonts w:ascii="Arial" w:hAnsi="Arial" w:cs="Arial"/>
        </w:rPr>
      </w:pPr>
      <w:r>
        <w:rPr>
          <w:rFonts w:ascii="Arial" w:hAnsi="Arial" w:cs="Arial"/>
        </w:rPr>
        <w:t>3.2. Настоящая методика устанавливает требования к э</w:t>
      </w:r>
      <w:r w:rsidRPr="006344E7">
        <w:rPr>
          <w:rFonts w:ascii="Arial" w:hAnsi="Arial" w:cs="Arial"/>
        </w:rPr>
        <w:t>кспертиз</w:t>
      </w:r>
      <w:r>
        <w:rPr>
          <w:rFonts w:ascii="Arial" w:hAnsi="Arial" w:cs="Arial"/>
        </w:rPr>
        <w:t>е</w:t>
      </w:r>
      <w:r w:rsidRPr="006344E7">
        <w:rPr>
          <w:rFonts w:ascii="Arial" w:hAnsi="Arial" w:cs="Arial"/>
        </w:rPr>
        <w:t xml:space="preserve"> финансово-экономической устойчивости участников закупочных процедур, а также предлагаемых ими финансовых условий сдел</w:t>
      </w:r>
      <w:r>
        <w:rPr>
          <w:rFonts w:ascii="Arial" w:hAnsi="Arial" w:cs="Arial"/>
        </w:rPr>
        <w:t>ок</w:t>
      </w:r>
      <w:r w:rsidRPr="006344E7">
        <w:rPr>
          <w:rFonts w:ascii="Arial" w:hAnsi="Arial" w:cs="Arial"/>
        </w:rPr>
        <w:t xml:space="preserve"> </w:t>
      </w:r>
      <w:r>
        <w:rPr>
          <w:rFonts w:ascii="Arial" w:hAnsi="Arial" w:cs="Arial"/>
        </w:rPr>
        <w:t xml:space="preserve">бизнес-дивизиона </w:t>
      </w:r>
      <w:r w:rsidRPr="006344E7">
        <w:rPr>
          <w:rFonts w:ascii="Arial" w:hAnsi="Arial" w:cs="Arial"/>
        </w:rPr>
        <w:t xml:space="preserve"> </w:t>
      </w:r>
      <w:r>
        <w:rPr>
          <w:rFonts w:ascii="Arial" w:hAnsi="Arial" w:cs="Arial"/>
        </w:rPr>
        <w:t xml:space="preserve">«Электрогенерация» </w:t>
      </w:r>
      <w:r w:rsidRPr="006344E7">
        <w:rPr>
          <w:rFonts w:ascii="Arial" w:hAnsi="Arial" w:cs="Arial"/>
        </w:rPr>
        <w:t xml:space="preserve">в рамках закупочной деятельности во избежание потерь и с целью ограничения подверженности </w:t>
      </w:r>
      <w:r>
        <w:rPr>
          <w:rFonts w:ascii="Arial" w:hAnsi="Arial" w:cs="Arial"/>
        </w:rPr>
        <w:t xml:space="preserve">бизнес-дивизиона «Электрогенерация» </w:t>
      </w:r>
      <w:r w:rsidRPr="006344E7">
        <w:rPr>
          <w:rFonts w:ascii="Arial" w:hAnsi="Arial" w:cs="Arial"/>
        </w:rPr>
        <w:t>кредитному риску</w:t>
      </w:r>
      <w:r>
        <w:rPr>
          <w:rFonts w:ascii="Arial" w:hAnsi="Arial" w:cs="Arial"/>
        </w:rPr>
        <w:t>, в том числе для выявления и отклонения таких участников конкурентных закупочных процедур, которые заведомо неспособны исполнить свои обязательства.</w:t>
      </w:r>
    </w:p>
    <w:p w:rsidR="00EB2DE4" w:rsidRDefault="00EB2DE4" w:rsidP="00EB2DE4">
      <w:pPr>
        <w:spacing w:after="60"/>
        <w:jc w:val="both"/>
        <w:rPr>
          <w:rFonts w:ascii="Arial" w:hAnsi="Arial" w:cs="Arial"/>
        </w:rPr>
      </w:pPr>
      <w:bookmarkStart w:id="28" w:name="_Toc326066009"/>
      <w:bookmarkStart w:id="29" w:name="_Toc326066279"/>
      <w:r>
        <w:rPr>
          <w:rFonts w:ascii="Arial" w:hAnsi="Arial" w:cs="Arial"/>
        </w:rPr>
        <w:t>3.3. Настоящая м</w:t>
      </w:r>
      <w:r w:rsidRPr="006344E7">
        <w:rPr>
          <w:rFonts w:ascii="Arial" w:hAnsi="Arial" w:cs="Arial"/>
        </w:rPr>
        <w:t>етодика устанавливает набор и значимость отборочных и оценочных критериев при проведении финансово-экономической экспертизы.</w:t>
      </w:r>
      <w:bookmarkEnd w:id="28"/>
      <w:bookmarkEnd w:id="29"/>
    </w:p>
    <w:p w:rsidR="00EB2DE4" w:rsidRDefault="00EB2DE4" w:rsidP="00EB2DE4">
      <w:pPr>
        <w:jc w:val="both"/>
        <w:rPr>
          <w:rFonts w:ascii="Arial" w:hAnsi="Arial" w:cs="Arial"/>
        </w:rPr>
      </w:pPr>
      <w:bookmarkStart w:id="30" w:name="_Toc322961174"/>
      <w:bookmarkStart w:id="31" w:name="_Toc326066010"/>
      <w:bookmarkStart w:id="32" w:name="_Toc326066280"/>
      <w:r>
        <w:rPr>
          <w:rFonts w:ascii="Arial" w:hAnsi="Arial" w:cs="Arial"/>
        </w:rPr>
        <w:t>3.1. Настоящая м</w:t>
      </w:r>
      <w:r w:rsidRPr="006344E7">
        <w:rPr>
          <w:rFonts w:ascii="Arial" w:hAnsi="Arial" w:cs="Arial"/>
        </w:rPr>
        <w:t>етодика применяется</w:t>
      </w:r>
      <w:r>
        <w:rPr>
          <w:rFonts w:ascii="Arial" w:hAnsi="Arial" w:cs="Arial"/>
        </w:rPr>
        <w:t>:</w:t>
      </w:r>
    </w:p>
    <w:p w:rsidR="00EB2DE4" w:rsidRPr="006344E7" w:rsidRDefault="00EB2DE4" w:rsidP="00EB2DE4">
      <w:pPr>
        <w:numPr>
          <w:ilvl w:val="0"/>
          <w:numId w:val="6"/>
        </w:numPr>
        <w:spacing w:before="120"/>
        <w:ind w:left="720" w:hanging="11"/>
        <w:jc w:val="both"/>
        <w:rPr>
          <w:rFonts w:ascii="Arial" w:hAnsi="Arial" w:cs="Arial"/>
        </w:rPr>
      </w:pPr>
      <w:r w:rsidRPr="006344E7">
        <w:rPr>
          <w:rFonts w:ascii="Arial" w:hAnsi="Arial" w:cs="Arial"/>
        </w:rPr>
        <w:t xml:space="preserve"> работник</w:t>
      </w:r>
      <w:r>
        <w:rPr>
          <w:rFonts w:ascii="Arial" w:hAnsi="Arial" w:cs="Arial"/>
        </w:rPr>
        <w:t>ами структурных подразделений Общества</w:t>
      </w:r>
      <w:r w:rsidRPr="006344E7">
        <w:rPr>
          <w:rFonts w:ascii="Arial" w:hAnsi="Arial" w:cs="Arial"/>
        </w:rPr>
        <w:t>, привлеченным</w:t>
      </w:r>
      <w:r>
        <w:rPr>
          <w:rFonts w:ascii="Arial" w:hAnsi="Arial" w:cs="Arial"/>
        </w:rPr>
        <w:t>и</w:t>
      </w:r>
      <w:r w:rsidRPr="006344E7">
        <w:rPr>
          <w:rFonts w:ascii="Arial" w:hAnsi="Arial" w:cs="Arial"/>
        </w:rPr>
        <w:t xml:space="preserve"> для оценки финансово-экономической устойчивости участников закупочной процедуры в рамках деятельности экспертной группы и/или закупочной комиссии по оценке и ранжированию предложений участников закупочной процедуры (далее - </w:t>
      </w:r>
      <w:r>
        <w:rPr>
          <w:rFonts w:ascii="Arial" w:hAnsi="Arial" w:cs="Arial"/>
        </w:rPr>
        <w:t>э</w:t>
      </w:r>
      <w:r w:rsidRPr="006344E7">
        <w:rPr>
          <w:rFonts w:ascii="Arial" w:hAnsi="Arial" w:cs="Arial"/>
        </w:rPr>
        <w:t>ксперт</w:t>
      </w:r>
      <w:bookmarkEnd w:id="30"/>
      <w:bookmarkEnd w:id="31"/>
      <w:bookmarkEnd w:id="32"/>
      <w:r w:rsidRPr="006344E7">
        <w:rPr>
          <w:rFonts w:ascii="Arial" w:hAnsi="Arial" w:cs="Arial"/>
        </w:rPr>
        <w:t>)</w:t>
      </w:r>
      <w:r>
        <w:rPr>
          <w:rFonts w:ascii="Arial" w:hAnsi="Arial" w:cs="Arial"/>
        </w:rPr>
        <w:t>;</w:t>
      </w:r>
    </w:p>
    <w:p w:rsidR="00EB2DE4" w:rsidRPr="00E1449F" w:rsidRDefault="00EB2DE4" w:rsidP="00EB2DE4">
      <w:pPr>
        <w:numPr>
          <w:ilvl w:val="0"/>
          <w:numId w:val="6"/>
        </w:numPr>
        <w:ind w:left="720" w:hanging="11"/>
        <w:jc w:val="both"/>
        <w:rPr>
          <w:rFonts w:ascii="Arial" w:hAnsi="Arial" w:cs="Arial"/>
        </w:rPr>
      </w:pPr>
      <w:bookmarkStart w:id="33" w:name="_Toc326066011"/>
      <w:bookmarkStart w:id="34" w:name="_Toc326066281"/>
      <w:bookmarkStart w:id="35" w:name="_Toc322961175"/>
      <w:r w:rsidRPr="006344E7">
        <w:rPr>
          <w:rFonts w:ascii="Arial" w:hAnsi="Arial" w:cs="Arial"/>
        </w:rPr>
        <w:t>на работников</w:t>
      </w:r>
      <w:r>
        <w:rPr>
          <w:rFonts w:ascii="Arial" w:hAnsi="Arial" w:cs="Arial"/>
        </w:rPr>
        <w:t xml:space="preserve"> структурных подразделений Общества</w:t>
      </w:r>
      <w:r w:rsidRPr="006344E7">
        <w:rPr>
          <w:rFonts w:ascii="Arial" w:hAnsi="Arial" w:cs="Arial"/>
        </w:rPr>
        <w:t>, использующих результаты указанной экспертизы при ранжировании предложений участников закупочной процедуры</w:t>
      </w:r>
      <w:r>
        <w:rPr>
          <w:rFonts w:ascii="Arial" w:hAnsi="Arial" w:cs="Arial"/>
        </w:rPr>
        <w:t xml:space="preserve"> бизнес-дивизиона</w:t>
      </w:r>
      <w:r w:rsidRPr="006344E7">
        <w:rPr>
          <w:rFonts w:ascii="Arial" w:hAnsi="Arial" w:cs="Arial"/>
        </w:rPr>
        <w:t xml:space="preserve"> </w:t>
      </w:r>
      <w:r>
        <w:rPr>
          <w:rFonts w:ascii="Arial" w:hAnsi="Arial" w:cs="Arial"/>
        </w:rPr>
        <w:t xml:space="preserve">«Электрогенерация» </w:t>
      </w:r>
      <w:r w:rsidRPr="006344E7">
        <w:rPr>
          <w:rFonts w:ascii="Arial" w:hAnsi="Arial" w:cs="Arial"/>
        </w:rPr>
        <w:t>(членов закупочной комиссии</w:t>
      </w:r>
      <w:bookmarkEnd w:id="35"/>
      <w:r w:rsidRPr="006344E7">
        <w:rPr>
          <w:rFonts w:ascii="Arial" w:hAnsi="Arial" w:cs="Arial"/>
        </w:rPr>
        <w:t>)</w:t>
      </w:r>
      <w:r>
        <w:rPr>
          <w:rFonts w:ascii="Arial" w:hAnsi="Arial" w:cs="Arial"/>
        </w:rPr>
        <w:t xml:space="preserve"> и</w:t>
      </w:r>
      <w:r w:rsidRPr="006344E7">
        <w:rPr>
          <w:rFonts w:ascii="Arial" w:hAnsi="Arial" w:cs="Arial"/>
        </w:rPr>
        <w:t xml:space="preserve"> осуществляющих последующий контроль и оценку эффективности мероприятий по проведению финансово-экономической экспертизы</w:t>
      </w:r>
      <w:r>
        <w:rPr>
          <w:rFonts w:ascii="Arial" w:hAnsi="Arial" w:cs="Arial"/>
        </w:rPr>
        <w:t>.</w:t>
      </w:r>
    </w:p>
    <w:p w:rsidR="00EB2DE4" w:rsidRPr="00C057C5" w:rsidRDefault="00EB2DE4" w:rsidP="00EB2DE4">
      <w:pPr>
        <w:spacing w:before="120"/>
        <w:jc w:val="both"/>
        <w:rPr>
          <w:rFonts w:ascii="Arial" w:hAnsi="Arial" w:cs="Arial"/>
        </w:rPr>
      </w:pPr>
      <w:r>
        <w:rPr>
          <w:rFonts w:ascii="Arial" w:hAnsi="Arial" w:cs="Arial"/>
        </w:rPr>
        <w:t xml:space="preserve">3.2. </w:t>
      </w:r>
      <w:r w:rsidRPr="006344E7">
        <w:rPr>
          <w:rFonts w:ascii="Arial" w:hAnsi="Arial" w:cs="Arial"/>
        </w:rPr>
        <w:t xml:space="preserve">Разграничение функциональных ролей между </w:t>
      </w:r>
      <w:r>
        <w:rPr>
          <w:rFonts w:ascii="Arial" w:hAnsi="Arial" w:cs="Arial"/>
        </w:rPr>
        <w:t>экспертами</w:t>
      </w:r>
      <w:r w:rsidRPr="006344E7">
        <w:rPr>
          <w:rFonts w:ascii="Arial" w:hAnsi="Arial" w:cs="Arial"/>
        </w:rPr>
        <w:t xml:space="preserve"> по проведению финансово-экономической экспертизы, осуществлению последующего контроля и оценке эффективности мероприятий прив</w:t>
      </w:r>
      <w:r>
        <w:rPr>
          <w:rFonts w:ascii="Arial" w:hAnsi="Arial" w:cs="Arial"/>
        </w:rPr>
        <w:t>едено</w:t>
      </w:r>
      <w:r w:rsidRPr="006344E7">
        <w:rPr>
          <w:rFonts w:ascii="Arial" w:hAnsi="Arial" w:cs="Arial"/>
        </w:rPr>
        <w:t xml:space="preserve"> в </w:t>
      </w:r>
      <w:r>
        <w:rPr>
          <w:rFonts w:ascii="Arial" w:hAnsi="Arial" w:cs="Arial"/>
        </w:rPr>
        <w:t>П</w:t>
      </w:r>
      <w:r w:rsidRPr="006344E7">
        <w:rPr>
          <w:rFonts w:ascii="Arial" w:hAnsi="Arial" w:cs="Arial"/>
        </w:rPr>
        <w:t>риложении 1 к</w:t>
      </w:r>
      <w:r>
        <w:rPr>
          <w:rFonts w:ascii="Arial" w:hAnsi="Arial" w:cs="Arial"/>
        </w:rPr>
        <w:t xml:space="preserve"> настоящей м</w:t>
      </w:r>
      <w:r w:rsidRPr="006344E7">
        <w:rPr>
          <w:rFonts w:ascii="Arial" w:hAnsi="Arial" w:cs="Arial"/>
        </w:rPr>
        <w:t>етодике.</w:t>
      </w:r>
      <w:bookmarkEnd w:id="33"/>
      <w:bookmarkEnd w:id="34"/>
    </w:p>
    <w:p w:rsidR="00EB2DE4" w:rsidRPr="00645DCC" w:rsidRDefault="00EB2DE4" w:rsidP="00EB2DE4">
      <w:pPr>
        <w:spacing w:before="60"/>
        <w:jc w:val="both"/>
        <w:rPr>
          <w:rFonts w:ascii="Arial" w:hAnsi="Arial" w:cs="Arial"/>
        </w:rPr>
      </w:pPr>
      <w:r>
        <w:rPr>
          <w:rFonts w:ascii="Arial" w:hAnsi="Arial" w:cs="Arial"/>
        </w:rPr>
        <w:t xml:space="preserve">3.3. При заключении договоров в рамках бизнес-дивизиона «Электрогенерация» без организации конкурентных закупочных процедур оценка финансовой устойчивости контрагента проводится </w:t>
      </w:r>
      <w:r w:rsidRPr="009E1616">
        <w:rPr>
          <w:rFonts w:ascii="Arial" w:hAnsi="Arial" w:cs="Arial"/>
        </w:rPr>
        <w:t xml:space="preserve">профильным </w:t>
      </w:r>
      <w:r>
        <w:rPr>
          <w:rFonts w:ascii="Arial" w:hAnsi="Arial" w:cs="Arial"/>
        </w:rPr>
        <w:t xml:space="preserve">структурным </w:t>
      </w:r>
      <w:r w:rsidRPr="009E1616">
        <w:rPr>
          <w:rFonts w:ascii="Arial" w:hAnsi="Arial" w:cs="Arial"/>
        </w:rPr>
        <w:t>подразделени</w:t>
      </w:r>
      <w:r>
        <w:rPr>
          <w:rFonts w:ascii="Arial" w:hAnsi="Arial" w:cs="Arial"/>
        </w:rPr>
        <w:t>ем</w:t>
      </w:r>
      <w:r w:rsidRPr="009E1616">
        <w:rPr>
          <w:rFonts w:ascii="Arial" w:hAnsi="Arial" w:cs="Arial"/>
        </w:rPr>
        <w:t xml:space="preserve"> </w:t>
      </w:r>
      <w:r>
        <w:rPr>
          <w:rFonts w:ascii="Arial" w:hAnsi="Arial" w:cs="Arial"/>
        </w:rPr>
        <w:t>бизнес-дивизиона «Электрогенерация» согласно требованиям настоящей методики.</w:t>
      </w:r>
    </w:p>
    <w:p w:rsidR="00EB2DE4" w:rsidRPr="004E395F" w:rsidRDefault="00EB2DE4" w:rsidP="00EB2DE4">
      <w:pPr>
        <w:pStyle w:val="1"/>
        <w:numPr>
          <w:ilvl w:val="0"/>
          <w:numId w:val="5"/>
        </w:numPr>
        <w:tabs>
          <w:tab w:val="left" w:pos="540"/>
        </w:tabs>
        <w:spacing w:after="240"/>
        <w:ind w:left="357" w:hanging="357"/>
        <w:jc w:val="both"/>
        <w:rPr>
          <w:sz w:val="24"/>
          <w:szCs w:val="24"/>
        </w:rPr>
      </w:pPr>
      <w:bookmarkStart w:id="36" w:name="_Toc370229404"/>
      <w:bookmarkStart w:id="37" w:name="_Toc314226165"/>
      <w:bookmarkStart w:id="38" w:name="_Toc322961178"/>
      <w:bookmarkStart w:id="39" w:name="_Toc326066013"/>
      <w:bookmarkStart w:id="40" w:name="_Toc326066283"/>
      <w:bookmarkStart w:id="41" w:name="_Toc326067314"/>
      <w:bookmarkStart w:id="42" w:name="_Toc370295572"/>
      <w:bookmarkEnd w:id="36"/>
      <w:r w:rsidRPr="00D651BF">
        <w:rPr>
          <w:sz w:val="24"/>
          <w:szCs w:val="24"/>
        </w:rPr>
        <w:t>Общие положения</w:t>
      </w:r>
      <w:bookmarkEnd w:id="37"/>
      <w:bookmarkEnd w:id="38"/>
      <w:bookmarkEnd w:id="39"/>
      <w:bookmarkEnd w:id="40"/>
      <w:bookmarkEnd w:id="41"/>
      <w:bookmarkEnd w:id="42"/>
    </w:p>
    <w:p w:rsidR="00EB2DE4" w:rsidRDefault="00EB2DE4" w:rsidP="00EB2DE4">
      <w:pPr>
        <w:spacing w:after="60"/>
        <w:jc w:val="both"/>
        <w:rPr>
          <w:rFonts w:ascii="Arial" w:hAnsi="Arial" w:cs="Arial"/>
        </w:rPr>
      </w:pPr>
      <w:r>
        <w:rPr>
          <w:rFonts w:ascii="Arial" w:hAnsi="Arial" w:cs="Arial"/>
        </w:rPr>
        <w:t xml:space="preserve">4.1. </w:t>
      </w:r>
      <w:r w:rsidRPr="00355C9E">
        <w:rPr>
          <w:rFonts w:ascii="Arial" w:hAnsi="Arial" w:cs="Arial"/>
        </w:rPr>
        <w:t>Оценка степени соответствия участника закупочной процедуры требованиям</w:t>
      </w:r>
      <w:r w:rsidRPr="00C45C23">
        <w:rPr>
          <w:rFonts w:ascii="Arial" w:hAnsi="Arial" w:cs="Arial"/>
        </w:rPr>
        <w:t xml:space="preserve"> </w:t>
      </w:r>
      <w:r>
        <w:rPr>
          <w:rFonts w:ascii="Arial" w:hAnsi="Arial" w:cs="Arial"/>
        </w:rPr>
        <w:t>закупочной документации, в том числе настоящей методики</w:t>
      </w:r>
      <w:r w:rsidRPr="00355C9E">
        <w:rPr>
          <w:rFonts w:ascii="Arial" w:hAnsi="Arial" w:cs="Arial"/>
        </w:rPr>
        <w:t xml:space="preserve"> в рамках финансово-экономической экспертизы </w:t>
      </w:r>
      <w:r>
        <w:rPr>
          <w:rFonts w:ascii="Arial" w:hAnsi="Arial" w:cs="Arial"/>
        </w:rPr>
        <w:t>осуществляется</w:t>
      </w:r>
      <w:r w:rsidRPr="00355C9E">
        <w:rPr>
          <w:rFonts w:ascii="Arial" w:hAnsi="Arial" w:cs="Arial"/>
        </w:rPr>
        <w:t xml:space="preserve"> с позиции финансово-экономических критериев и не охватывает юридических и технических вопросов.</w:t>
      </w:r>
    </w:p>
    <w:p w:rsidR="00EB2DE4" w:rsidRDefault="00EB2DE4" w:rsidP="00EB2DE4">
      <w:pPr>
        <w:spacing w:after="60"/>
        <w:jc w:val="both"/>
        <w:rPr>
          <w:rFonts w:ascii="Arial" w:hAnsi="Arial" w:cs="Arial"/>
        </w:rPr>
      </w:pPr>
      <w:r>
        <w:rPr>
          <w:rFonts w:ascii="Arial" w:hAnsi="Arial" w:cs="Arial"/>
        </w:rPr>
        <w:t xml:space="preserve">4.2. </w:t>
      </w:r>
      <w:r w:rsidRPr="009A15B9">
        <w:rPr>
          <w:rFonts w:ascii="Arial" w:hAnsi="Arial" w:cs="Arial"/>
        </w:rPr>
        <w:t>Вес (степень значимости) финансово-экономической экспертизы</w:t>
      </w:r>
      <w:r>
        <w:rPr>
          <w:rFonts w:ascii="Arial" w:hAnsi="Arial" w:cs="Arial"/>
        </w:rPr>
        <w:t>, осуществляемой наряду с коммерческой, юридической, технической и, возможно, другими видами экспертиз,</w:t>
      </w:r>
      <w:r w:rsidRPr="009A15B9">
        <w:rPr>
          <w:rFonts w:ascii="Arial" w:hAnsi="Arial" w:cs="Arial"/>
        </w:rPr>
        <w:t xml:space="preserve"> в итоговой оценке при ранжировании предложений участников </w:t>
      </w:r>
      <w:r>
        <w:rPr>
          <w:rFonts w:ascii="Arial" w:hAnsi="Arial" w:cs="Arial"/>
        </w:rPr>
        <w:t>конкурентной закупочной процедуры должен составлять</w:t>
      </w:r>
      <w:r w:rsidRPr="009A15B9">
        <w:rPr>
          <w:rFonts w:ascii="Arial" w:hAnsi="Arial" w:cs="Arial"/>
        </w:rPr>
        <w:t xml:space="preserve"> не менее </w:t>
      </w:r>
      <w:r>
        <w:rPr>
          <w:rFonts w:ascii="Arial" w:hAnsi="Arial" w:cs="Arial"/>
        </w:rPr>
        <w:t>10</w:t>
      </w:r>
      <w:r w:rsidRPr="009A15B9">
        <w:rPr>
          <w:rFonts w:ascii="Arial" w:hAnsi="Arial" w:cs="Arial"/>
        </w:rPr>
        <w:t>%</w:t>
      </w:r>
      <w:r>
        <w:rPr>
          <w:rFonts w:ascii="Arial" w:hAnsi="Arial" w:cs="Arial"/>
        </w:rPr>
        <w:t>.</w:t>
      </w:r>
    </w:p>
    <w:p w:rsidR="00EB2DE4" w:rsidRPr="00355C9E" w:rsidRDefault="00EB2DE4" w:rsidP="00EB2DE4">
      <w:pPr>
        <w:spacing w:after="60"/>
        <w:jc w:val="both"/>
        <w:rPr>
          <w:rFonts w:ascii="Arial" w:hAnsi="Arial" w:cs="Arial"/>
        </w:rPr>
      </w:pPr>
      <w:r>
        <w:rPr>
          <w:rFonts w:ascii="Arial" w:hAnsi="Arial" w:cs="Arial"/>
        </w:rPr>
        <w:t xml:space="preserve">4.3. Финансово-экономическая экспертиза согласно настоящей методике является обязательной в рамках каждой закупочной процедуры, независимо от того </w:t>
      </w:r>
      <w:r>
        <w:rPr>
          <w:rFonts w:ascii="Arial" w:hAnsi="Arial" w:cs="Arial"/>
        </w:rPr>
        <w:lastRenderedPageBreak/>
        <w:t>проводилась ли оценка финансового состояния конкретных участников ранее (в рамках аккредитации или другой закупочной процедуры).</w:t>
      </w:r>
    </w:p>
    <w:p w:rsidR="00EB2DE4" w:rsidRDefault="00EB2DE4" w:rsidP="00EB2DE4">
      <w:pPr>
        <w:spacing w:after="60"/>
        <w:jc w:val="both"/>
        <w:rPr>
          <w:rFonts w:ascii="Arial" w:hAnsi="Arial" w:cs="Arial"/>
        </w:rPr>
      </w:pPr>
      <w:r>
        <w:rPr>
          <w:rFonts w:ascii="Arial" w:hAnsi="Arial" w:cs="Arial"/>
        </w:rPr>
        <w:t>4.4. В рамках финансово-экономической экспертизы</w:t>
      </w:r>
      <w:r w:rsidRPr="00355C9E">
        <w:rPr>
          <w:rFonts w:ascii="Arial" w:hAnsi="Arial" w:cs="Arial"/>
        </w:rPr>
        <w:t xml:space="preserve"> должно быть принято решение о том, способен ли участник закупочной процедуры</w:t>
      </w:r>
      <w:r>
        <w:rPr>
          <w:rFonts w:ascii="Arial" w:hAnsi="Arial" w:cs="Arial"/>
        </w:rPr>
        <w:t xml:space="preserve"> с точки зрения финансово-экономических критериев</w:t>
      </w:r>
      <w:r w:rsidRPr="00355C9E">
        <w:rPr>
          <w:rFonts w:ascii="Arial" w:hAnsi="Arial" w:cs="Arial"/>
        </w:rPr>
        <w:t xml:space="preserve"> осуществить необходимую поставку или оказать услугу. Кроме этого должна быть получена оценка о степени его соответствия минимально приемлемым, общим для всех закупочных процедур требованиям, определенным настоящей </w:t>
      </w:r>
      <w:r>
        <w:rPr>
          <w:rFonts w:ascii="Arial" w:hAnsi="Arial" w:cs="Arial"/>
        </w:rPr>
        <w:t>м</w:t>
      </w:r>
      <w:r w:rsidRPr="00355C9E">
        <w:rPr>
          <w:rFonts w:ascii="Arial" w:hAnsi="Arial" w:cs="Arial"/>
        </w:rPr>
        <w:t>етодикой, а также специфическим требования</w:t>
      </w:r>
      <w:r>
        <w:rPr>
          <w:rFonts w:ascii="Arial" w:hAnsi="Arial" w:cs="Arial"/>
        </w:rPr>
        <w:t>м, установленным подразделением</w:t>
      </w:r>
      <w:r w:rsidRPr="00355C9E">
        <w:rPr>
          <w:rFonts w:ascii="Arial" w:hAnsi="Arial" w:cs="Arial"/>
        </w:rPr>
        <w:t xml:space="preserve">, в интересах которого осуществляется закупка, и закрепленным в </w:t>
      </w:r>
      <w:r>
        <w:rPr>
          <w:rFonts w:ascii="Arial" w:hAnsi="Arial" w:cs="Arial"/>
        </w:rPr>
        <w:t>закупочной документации</w:t>
      </w:r>
      <w:r w:rsidRPr="00355C9E">
        <w:rPr>
          <w:rFonts w:ascii="Arial" w:hAnsi="Arial" w:cs="Arial"/>
        </w:rPr>
        <w:t>.</w:t>
      </w:r>
      <w:r>
        <w:rPr>
          <w:rFonts w:ascii="Arial" w:hAnsi="Arial" w:cs="Arial"/>
        </w:rPr>
        <w:t xml:space="preserve"> Предложения участников конкурентных закупочных процедур, которые заведомо неспособны исполнить свои обязательства, должны быть отклонены.</w:t>
      </w:r>
    </w:p>
    <w:p w:rsidR="00EB2DE4" w:rsidRPr="0016099A" w:rsidRDefault="00EB2DE4" w:rsidP="00EB2DE4">
      <w:pPr>
        <w:spacing w:after="60"/>
        <w:jc w:val="both"/>
        <w:rPr>
          <w:rFonts w:ascii="Arial" w:hAnsi="Arial" w:cs="Arial"/>
        </w:rPr>
      </w:pPr>
      <w:r>
        <w:rPr>
          <w:rFonts w:ascii="Arial" w:hAnsi="Arial" w:cs="Arial"/>
        </w:rPr>
        <w:t xml:space="preserve">4.5. </w:t>
      </w:r>
      <w:r w:rsidRPr="0016099A">
        <w:rPr>
          <w:rFonts w:ascii="Arial" w:hAnsi="Arial" w:cs="Arial"/>
        </w:rPr>
        <w:t>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ранжирования участников между собой в зависимости от их финансового состояния применяется балльно-весовой метод.</w:t>
      </w:r>
    </w:p>
    <w:p w:rsidR="00EB2DE4" w:rsidRDefault="00EB2DE4" w:rsidP="00EB2DE4">
      <w:pPr>
        <w:spacing w:after="60"/>
        <w:jc w:val="both"/>
        <w:rPr>
          <w:rFonts w:ascii="Arial" w:hAnsi="Arial" w:cs="Arial"/>
        </w:rPr>
      </w:pPr>
      <w:r>
        <w:rPr>
          <w:rFonts w:ascii="Arial" w:hAnsi="Arial" w:cs="Arial"/>
        </w:rPr>
        <w:t xml:space="preserve">4.6. </w:t>
      </w:r>
      <w:r w:rsidRPr="0016099A">
        <w:rPr>
          <w:rFonts w:ascii="Arial" w:hAnsi="Arial" w:cs="Arial"/>
        </w:rPr>
        <w:t>В качестве критериев оценки для ранжирования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w:t>
      </w:r>
      <w:r>
        <w:rPr>
          <w:rFonts w:ascii="Arial" w:hAnsi="Arial" w:cs="Arial"/>
        </w:rPr>
        <w:t xml:space="preserve"> </w:t>
      </w:r>
      <w:r w:rsidRPr="0016099A">
        <w:rPr>
          <w:rFonts w:ascii="Arial" w:hAnsi="Arial" w:cs="Arial"/>
        </w:rPr>
        <w:t xml:space="preserve">Сумма полученных баллов, умноженных на весовые коэффициенты, дает первичную оценку от 0 до 1 согласно которой ранжируются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закупочной документации, </w:t>
      </w:r>
      <w:r>
        <w:rPr>
          <w:rFonts w:ascii="Arial" w:hAnsi="Arial" w:cs="Arial"/>
        </w:rPr>
        <w:t>в том числе настоящей методики</w:t>
      </w:r>
      <w:r w:rsidRPr="0016099A">
        <w:rPr>
          <w:rFonts w:ascii="Arial" w:hAnsi="Arial" w:cs="Arial"/>
        </w:rPr>
        <w:t>.</w:t>
      </w:r>
    </w:p>
    <w:p w:rsidR="00EB2DE4" w:rsidRDefault="00EB2DE4" w:rsidP="00EB2DE4">
      <w:pPr>
        <w:spacing w:after="60"/>
        <w:jc w:val="both"/>
        <w:rPr>
          <w:rFonts w:ascii="Arial" w:hAnsi="Arial" w:cs="Arial"/>
        </w:rPr>
      </w:pPr>
      <w:r>
        <w:rPr>
          <w:rFonts w:ascii="Arial" w:hAnsi="Arial" w:cs="Arial"/>
        </w:rPr>
        <w:t xml:space="preserve">4.7. Порядок применения положений </w:t>
      </w:r>
      <w:r w:rsidRPr="003A5359">
        <w:rPr>
          <w:rFonts w:ascii="Arial" w:hAnsi="Arial" w:cs="Arial"/>
        </w:rPr>
        <w:t>настоящей методики экспертами в ходе проведения финансово-экономической экспертизы определен в Разделе 11</w:t>
      </w:r>
      <w:r>
        <w:rPr>
          <w:rFonts w:ascii="Arial" w:hAnsi="Arial" w:cs="Arial"/>
        </w:rPr>
        <w:t xml:space="preserve"> к настоящей методике.</w:t>
      </w:r>
    </w:p>
    <w:p w:rsidR="00EB2DE4" w:rsidRPr="00355C9E" w:rsidRDefault="00EB2DE4" w:rsidP="00EB2DE4">
      <w:pPr>
        <w:spacing w:after="60"/>
        <w:jc w:val="both"/>
        <w:rPr>
          <w:rFonts w:ascii="Arial" w:hAnsi="Arial" w:cs="Arial"/>
        </w:rPr>
      </w:pPr>
      <w:r>
        <w:rPr>
          <w:rFonts w:ascii="Arial" w:hAnsi="Arial" w:cs="Arial"/>
        </w:rPr>
        <w:t xml:space="preserve">4.8. </w:t>
      </w:r>
      <w:r w:rsidRPr="00355C9E">
        <w:rPr>
          <w:rFonts w:ascii="Arial" w:hAnsi="Arial" w:cs="Arial"/>
        </w:rPr>
        <w:t>В случае если, исходя из</w:t>
      </w:r>
      <w:r>
        <w:rPr>
          <w:rFonts w:ascii="Arial" w:hAnsi="Arial" w:cs="Arial"/>
        </w:rPr>
        <w:t xml:space="preserve"> особенностей закупочной процедуры и</w:t>
      </w:r>
      <w:r w:rsidRPr="00355C9E">
        <w:rPr>
          <w:rFonts w:ascii="Arial" w:hAnsi="Arial" w:cs="Arial"/>
        </w:rPr>
        <w:t xml:space="preserve"> требований закупочной документации</w:t>
      </w:r>
      <w:r>
        <w:rPr>
          <w:rFonts w:ascii="Arial" w:hAnsi="Arial" w:cs="Arial"/>
        </w:rPr>
        <w:t xml:space="preserve"> </w:t>
      </w:r>
      <w:r w:rsidRPr="00355C9E">
        <w:rPr>
          <w:rFonts w:ascii="Arial" w:hAnsi="Arial" w:cs="Arial"/>
        </w:rPr>
        <w:t>существуют основания для того, чтобы изменить набор или степень значимости финансово-экономических критериев</w:t>
      </w:r>
      <w:r w:rsidRPr="002B5874">
        <w:rPr>
          <w:rFonts w:ascii="Arial" w:hAnsi="Arial" w:cs="Arial"/>
        </w:rPr>
        <w:t>,</w:t>
      </w:r>
      <w:r>
        <w:rPr>
          <w:rFonts w:ascii="Arial" w:hAnsi="Arial" w:cs="Arial"/>
        </w:rPr>
        <w:t xml:space="preserve"> утвержденных настоящей методикой</w:t>
      </w:r>
      <w:r w:rsidRPr="00355C9E">
        <w:rPr>
          <w:rFonts w:ascii="Arial" w:hAnsi="Arial" w:cs="Arial"/>
        </w:rPr>
        <w:t xml:space="preserve">, указанные </w:t>
      </w:r>
      <w:r>
        <w:rPr>
          <w:rFonts w:ascii="Arial" w:hAnsi="Arial" w:cs="Arial"/>
        </w:rPr>
        <w:t>действия могут быть выполнены</w:t>
      </w:r>
      <w:r w:rsidRPr="00355C9E">
        <w:rPr>
          <w:rFonts w:ascii="Arial" w:hAnsi="Arial" w:cs="Arial"/>
        </w:rPr>
        <w:t xml:space="preserve"> </w:t>
      </w:r>
      <w:r>
        <w:rPr>
          <w:rFonts w:ascii="Arial" w:hAnsi="Arial" w:cs="Arial"/>
        </w:rPr>
        <w:t xml:space="preserve">экспертом </w:t>
      </w:r>
      <w:r w:rsidRPr="00355C9E">
        <w:rPr>
          <w:rFonts w:ascii="Arial" w:hAnsi="Arial" w:cs="Arial"/>
        </w:rPr>
        <w:t>с обоснованием</w:t>
      </w:r>
      <w:r>
        <w:rPr>
          <w:rFonts w:ascii="Arial" w:hAnsi="Arial" w:cs="Arial"/>
        </w:rPr>
        <w:t xml:space="preserve"> внесенных изменений в экспертном заключении</w:t>
      </w:r>
      <w:r w:rsidRPr="00355C9E">
        <w:rPr>
          <w:rFonts w:ascii="Arial" w:hAnsi="Arial" w:cs="Arial"/>
        </w:rPr>
        <w:t>.</w:t>
      </w:r>
    </w:p>
    <w:p w:rsidR="00EB2DE4" w:rsidRPr="004E395F" w:rsidRDefault="00EB2DE4" w:rsidP="00EB2DE4">
      <w:pPr>
        <w:pStyle w:val="1"/>
        <w:numPr>
          <w:ilvl w:val="0"/>
          <w:numId w:val="5"/>
        </w:numPr>
        <w:tabs>
          <w:tab w:val="left" w:pos="540"/>
        </w:tabs>
        <w:ind w:left="540" w:hanging="540"/>
        <w:rPr>
          <w:sz w:val="24"/>
          <w:szCs w:val="24"/>
        </w:rPr>
      </w:pPr>
      <w:bookmarkStart w:id="43" w:name="_Toc314226181"/>
      <w:bookmarkStart w:id="44" w:name="_Toc322961179"/>
      <w:bookmarkStart w:id="45" w:name="_Toc326066014"/>
      <w:bookmarkStart w:id="46" w:name="_Toc326066284"/>
      <w:bookmarkStart w:id="47" w:name="_Toc326067315"/>
      <w:bookmarkStart w:id="48" w:name="_Toc370295573"/>
      <w:r w:rsidRPr="00D651BF">
        <w:rPr>
          <w:sz w:val="24"/>
          <w:szCs w:val="24"/>
        </w:rPr>
        <w:t>Информация</w:t>
      </w:r>
      <w:r w:rsidRPr="004E395F">
        <w:rPr>
          <w:sz w:val="24"/>
          <w:szCs w:val="24"/>
        </w:rPr>
        <w:t>, используемая для оценки</w:t>
      </w:r>
      <w:bookmarkEnd w:id="43"/>
      <w:bookmarkEnd w:id="44"/>
      <w:bookmarkEnd w:id="45"/>
      <w:bookmarkEnd w:id="46"/>
      <w:bookmarkEnd w:id="47"/>
      <w:bookmarkEnd w:id="48"/>
    </w:p>
    <w:p w:rsidR="00EB2DE4" w:rsidRDefault="00EB2DE4" w:rsidP="00EB2DE4">
      <w:pPr>
        <w:spacing w:before="120" w:after="120"/>
        <w:jc w:val="both"/>
        <w:rPr>
          <w:rFonts w:ascii="Arial" w:hAnsi="Arial" w:cs="Arial"/>
        </w:rPr>
      </w:pPr>
      <w:bookmarkStart w:id="49" w:name="_Toc145758362"/>
      <w:bookmarkStart w:id="50" w:name="_Toc145758488"/>
      <w:bookmarkStart w:id="51" w:name="_Toc145759012"/>
      <w:bookmarkStart w:id="52" w:name="_Toc145759275"/>
      <w:bookmarkStart w:id="53" w:name="_Toc145760309"/>
      <w:bookmarkStart w:id="54" w:name="_Toc162934435"/>
      <w:r>
        <w:rPr>
          <w:rFonts w:ascii="Arial" w:hAnsi="Arial" w:cs="Arial"/>
        </w:rPr>
        <w:t>5.1. Для проведения финансово-экономической экспертизы</w:t>
      </w:r>
      <w:r w:rsidRPr="00355C9E">
        <w:rPr>
          <w:rFonts w:ascii="Arial" w:hAnsi="Arial" w:cs="Arial"/>
        </w:rPr>
        <w:t xml:space="preserve"> </w:t>
      </w:r>
      <w:r>
        <w:rPr>
          <w:rFonts w:ascii="Arial" w:hAnsi="Arial" w:cs="Arial"/>
        </w:rPr>
        <w:t>используется следующая информация:</w:t>
      </w:r>
    </w:p>
    <w:p w:rsidR="00EB2DE4" w:rsidRPr="0016099A" w:rsidRDefault="00EB2DE4" w:rsidP="00EB2DE4">
      <w:pPr>
        <w:numPr>
          <w:ilvl w:val="0"/>
          <w:numId w:val="6"/>
        </w:numPr>
        <w:ind w:left="720" w:hanging="11"/>
        <w:jc w:val="both"/>
        <w:rPr>
          <w:rFonts w:ascii="Arial" w:hAnsi="Arial" w:cs="Arial"/>
        </w:rPr>
      </w:pPr>
      <w:r>
        <w:rPr>
          <w:rFonts w:ascii="Arial" w:hAnsi="Arial" w:cs="Arial"/>
        </w:rPr>
        <w:t>ф</w:t>
      </w:r>
      <w:r w:rsidRPr="0016099A">
        <w:rPr>
          <w:rFonts w:ascii="Arial" w:hAnsi="Arial" w:cs="Arial"/>
        </w:rPr>
        <w:t xml:space="preserve">ормы бухгалтерской отчетности (баланс и отчет о прибылях и убытках) с отметкой налогового органа за два последних завершенных финансовых года </w:t>
      </w:r>
      <w:r>
        <w:rPr>
          <w:rFonts w:ascii="Arial" w:hAnsi="Arial" w:cs="Arial"/>
        </w:rPr>
        <w:t>(дополнительно бухгалтерская отчетность</w:t>
      </w:r>
      <w:r w:rsidRPr="0016099A">
        <w:rPr>
          <w:rFonts w:ascii="Arial" w:hAnsi="Arial" w:cs="Arial"/>
        </w:rPr>
        <w:t xml:space="preserve"> на последнюю отчетную дату текущего года</w:t>
      </w:r>
      <w:r>
        <w:rPr>
          <w:rFonts w:ascii="Arial" w:hAnsi="Arial" w:cs="Arial"/>
        </w:rPr>
        <w:t xml:space="preserve"> в случае предоставления участником может быть использована для оценки без отметки налогового органа).</w:t>
      </w:r>
      <w:r w:rsidRPr="0016099A">
        <w:rPr>
          <w:rFonts w:ascii="Arial" w:hAnsi="Arial" w:cs="Arial"/>
        </w:rPr>
        <w:t xml:space="preserve"> </w:t>
      </w:r>
      <w:r>
        <w:rPr>
          <w:rFonts w:ascii="Arial" w:hAnsi="Arial" w:cs="Arial"/>
        </w:rPr>
        <w:t>Н</w:t>
      </w:r>
      <w:r w:rsidRPr="0016099A">
        <w:rPr>
          <w:rFonts w:ascii="Arial" w:hAnsi="Arial" w:cs="Arial"/>
        </w:rPr>
        <w:t xml:space="preserve">алоговая декларация для </w:t>
      </w:r>
      <w:r>
        <w:rPr>
          <w:rFonts w:ascii="Arial" w:hAnsi="Arial" w:cs="Arial"/>
        </w:rPr>
        <w:t>индивидуальных предпринимателей</w:t>
      </w:r>
      <w:r w:rsidRPr="0016099A">
        <w:rPr>
          <w:rFonts w:ascii="Arial" w:hAnsi="Arial" w:cs="Arial"/>
        </w:rPr>
        <w:t xml:space="preserve"> за соответствующие периоды</w:t>
      </w:r>
    </w:p>
    <w:p w:rsidR="00EB2DE4" w:rsidRPr="0016099A" w:rsidRDefault="00EB2DE4" w:rsidP="00EB2DE4">
      <w:pPr>
        <w:numPr>
          <w:ilvl w:val="0"/>
          <w:numId w:val="6"/>
        </w:numPr>
        <w:ind w:left="720" w:hanging="11"/>
        <w:jc w:val="both"/>
        <w:rPr>
          <w:rFonts w:ascii="Arial" w:hAnsi="Arial" w:cs="Arial"/>
        </w:rPr>
      </w:pPr>
      <w:r>
        <w:rPr>
          <w:rFonts w:ascii="Arial" w:hAnsi="Arial" w:cs="Arial"/>
        </w:rPr>
        <w:t>к</w:t>
      </w:r>
      <w:r w:rsidRPr="0016099A">
        <w:rPr>
          <w:rFonts w:ascii="Arial" w:hAnsi="Arial" w:cs="Arial"/>
        </w:rPr>
        <w:t>опия выписки из ЕГРЮЛ</w:t>
      </w:r>
      <w:r>
        <w:rPr>
          <w:rFonts w:ascii="Arial" w:hAnsi="Arial" w:cs="Arial"/>
        </w:rPr>
        <w:t>/ЕГРИП;</w:t>
      </w:r>
    </w:p>
    <w:p w:rsidR="00EB2DE4" w:rsidRPr="0016099A" w:rsidRDefault="00EB2DE4" w:rsidP="00EB2DE4">
      <w:pPr>
        <w:numPr>
          <w:ilvl w:val="0"/>
          <w:numId w:val="6"/>
        </w:numPr>
        <w:ind w:left="720" w:hanging="11"/>
        <w:jc w:val="both"/>
        <w:rPr>
          <w:rFonts w:ascii="Arial" w:hAnsi="Arial" w:cs="Arial"/>
        </w:rPr>
      </w:pPr>
      <w:r>
        <w:rPr>
          <w:rFonts w:ascii="Arial" w:hAnsi="Arial" w:cs="Arial"/>
        </w:rPr>
        <w:lastRenderedPageBreak/>
        <w:t>к</w:t>
      </w:r>
      <w:r w:rsidRPr="0016099A">
        <w:rPr>
          <w:rFonts w:ascii="Arial" w:hAnsi="Arial" w:cs="Arial"/>
        </w:rPr>
        <w:t xml:space="preserve">опия </w:t>
      </w:r>
      <w:r>
        <w:rPr>
          <w:rFonts w:ascii="Arial" w:hAnsi="Arial" w:cs="Arial"/>
        </w:rPr>
        <w:t>У</w:t>
      </w:r>
      <w:r w:rsidRPr="0016099A">
        <w:rPr>
          <w:rFonts w:ascii="Arial" w:hAnsi="Arial" w:cs="Arial"/>
        </w:rPr>
        <w:t>става</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а</w:t>
      </w:r>
      <w:r w:rsidRPr="0016099A">
        <w:rPr>
          <w:rFonts w:ascii="Arial" w:hAnsi="Arial" w:cs="Arial"/>
        </w:rPr>
        <w:t>нкета участника*</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с</w:t>
      </w:r>
      <w:r w:rsidRPr="0016099A">
        <w:rPr>
          <w:rFonts w:ascii="Arial" w:hAnsi="Arial" w:cs="Arial"/>
        </w:rPr>
        <w:t>правка о перечне и объемах выполнения аналогичных договоров*</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с</w:t>
      </w:r>
      <w:r w:rsidRPr="0016099A">
        <w:rPr>
          <w:rFonts w:ascii="Arial" w:hAnsi="Arial" w:cs="Arial"/>
        </w:rPr>
        <w:t>правка о наличии кадровых ресурсов*</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с</w:t>
      </w:r>
      <w:r w:rsidRPr="0016099A">
        <w:rPr>
          <w:rFonts w:ascii="Arial" w:hAnsi="Arial" w:cs="Arial"/>
        </w:rPr>
        <w:t>правка о наличии материально-технических ресурсов*</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с</w:t>
      </w:r>
      <w:r w:rsidRPr="0016099A">
        <w:rPr>
          <w:rFonts w:ascii="Arial" w:hAnsi="Arial" w:cs="Arial"/>
        </w:rPr>
        <w:t>водная таблица стоимости*</w:t>
      </w:r>
    </w:p>
    <w:p w:rsidR="00EB2DE4" w:rsidRPr="0016099A" w:rsidRDefault="00EB2DE4" w:rsidP="00EB2DE4">
      <w:pPr>
        <w:numPr>
          <w:ilvl w:val="0"/>
          <w:numId w:val="6"/>
        </w:numPr>
        <w:ind w:left="720" w:hanging="11"/>
        <w:jc w:val="both"/>
        <w:rPr>
          <w:rFonts w:ascii="Arial" w:hAnsi="Arial" w:cs="Arial"/>
        </w:rPr>
      </w:pPr>
      <w:r>
        <w:rPr>
          <w:rFonts w:ascii="Arial" w:hAnsi="Arial" w:cs="Arial"/>
        </w:rPr>
        <w:t>г</w:t>
      </w:r>
      <w:r w:rsidRPr="0016099A">
        <w:rPr>
          <w:rFonts w:ascii="Arial" w:hAnsi="Arial" w:cs="Arial"/>
        </w:rPr>
        <w:t>рафик и условия оплаты*</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другие д</w:t>
      </w:r>
      <w:r w:rsidRPr="0016099A">
        <w:rPr>
          <w:rFonts w:ascii="Arial" w:hAnsi="Arial" w:cs="Arial"/>
        </w:rPr>
        <w:t xml:space="preserve">окументы, подтверждающие наличие у участника </w:t>
      </w:r>
      <w:r>
        <w:rPr>
          <w:rFonts w:ascii="Arial" w:hAnsi="Arial" w:cs="Arial"/>
        </w:rPr>
        <w:t>закупочной процедуры</w:t>
      </w:r>
      <w:r w:rsidRPr="0016099A">
        <w:rPr>
          <w:rFonts w:ascii="Arial" w:hAnsi="Arial" w:cs="Arial"/>
        </w:rPr>
        <w:t xml:space="preserve"> релевантного опыта (отзывы, рекомендательные письма)</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и</w:t>
      </w:r>
      <w:r w:rsidRPr="0016099A">
        <w:rPr>
          <w:rFonts w:ascii="Arial" w:hAnsi="Arial" w:cs="Arial"/>
        </w:rPr>
        <w:t>нформация из открытых источников</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и</w:t>
      </w:r>
      <w:r w:rsidRPr="0016099A">
        <w:rPr>
          <w:rFonts w:ascii="Arial" w:hAnsi="Arial" w:cs="Arial"/>
        </w:rPr>
        <w:t>нформация закрытых источников – данные информационно-аналитических систем «СПАРК», «БизнесИнфоРесурс»**</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р</w:t>
      </w:r>
      <w:r w:rsidRPr="0016099A">
        <w:rPr>
          <w:rFonts w:ascii="Arial" w:hAnsi="Arial" w:cs="Arial"/>
        </w:rPr>
        <w:t>асшифровка дебиторской и кредиторской задолженности***</w:t>
      </w:r>
      <w:r>
        <w:rPr>
          <w:rFonts w:ascii="Arial" w:hAnsi="Arial" w:cs="Arial"/>
        </w:rPr>
        <w:t>;</w:t>
      </w:r>
    </w:p>
    <w:p w:rsidR="00EB2DE4" w:rsidRPr="0016099A" w:rsidRDefault="00EB2DE4" w:rsidP="00EB2DE4">
      <w:pPr>
        <w:numPr>
          <w:ilvl w:val="0"/>
          <w:numId w:val="6"/>
        </w:numPr>
        <w:ind w:left="720" w:hanging="11"/>
        <w:jc w:val="both"/>
        <w:rPr>
          <w:rFonts w:ascii="Arial" w:hAnsi="Arial" w:cs="Arial"/>
        </w:rPr>
      </w:pPr>
      <w:r>
        <w:rPr>
          <w:rFonts w:ascii="Arial" w:hAnsi="Arial" w:cs="Arial"/>
        </w:rPr>
        <w:t>р</w:t>
      </w:r>
      <w:r w:rsidRPr="0016099A">
        <w:rPr>
          <w:rFonts w:ascii="Arial" w:hAnsi="Arial" w:cs="Arial"/>
        </w:rPr>
        <w:t>асшифровка других статей баланса***</w:t>
      </w:r>
      <w:r>
        <w:rPr>
          <w:rFonts w:ascii="Arial" w:hAnsi="Arial" w:cs="Arial"/>
        </w:rPr>
        <w:t>.</w:t>
      </w:r>
    </w:p>
    <w:p w:rsidR="00EB2DE4" w:rsidRPr="00E1449F" w:rsidRDefault="00EB2DE4" w:rsidP="00EB2DE4">
      <w:pPr>
        <w:spacing w:before="120" w:after="120"/>
        <w:jc w:val="both"/>
        <w:rPr>
          <w:rFonts w:ascii="Arial" w:hAnsi="Arial" w:cs="Arial"/>
          <w:i/>
          <w:sz w:val="20"/>
          <w:szCs w:val="20"/>
        </w:rPr>
      </w:pPr>
      <w:r w:rsidRPr="00E1449F">
        <w:rPr>
          <w:rFonts w:ascii="Arial" w:hAnsi="Arial" w:cs="Arial"/>
          <w:i/>
          <w:sz w:val="20"/>
          <w:szCs w:val="20"/>
        </w:rPr>
        <w:t>* Документы, составленные по форме, установленной закупочной документацией.</w:t>
      </w:r>
    </w:p>
    <w:p w:rsidR="00EB2DE4" w:rsidRPr="00E1449F" w:rsidRDefault="00EB2DE4" w:rsidP="00EB2DE4">
      <w:pPr>
        <w:spacing w:before="120" w:after="120"/>
        <w:jc w:val="both"/>
        <w:rPr>
          <w:rFonts w:ascii="Arial" w:hAnsi="Arial" w:cs="Arial"/>
          <w:i/>
          <w:sz w:val="20"/>
          <w:szCs w:val="20"/>
        </w:rPr>
      </w:pPr>
      <w:r w:rsidRPr="00E1449F">
        <w:rPr>
          <w:rFonts w:ascii="Arial" w:hAnsi="Arial" w:cs="Arial"/>
          <w:i/>
          <w:sz w:val="20"/>
          <w:szCs w:val="20"/>
        </w:rPr>
        <w:t>** При наличии доступа.</w:t>
      </w:r>
    </w:p>
    <w:p w:rsidR="00EB2DE4" w:rsidRPr="00E1449F" w:rsidRDefault="00EB2DE4" w:rsidP="00EB2DE4">
      <w:pPr>
        <w:spacing w:before="120" w:after="120"/>
        <w:jc w:val="both"/>
        <w:rPr>
          <w:rFonts w:ascii="Arial" w:hAnsi="Arial" w:cs="Arial"/>
          <w:i/>
          <w:sz w:val="20"/>
          <w:szCs w:val="20"/>
        </w:rPr>
      </w:pPr>
      <w:r w:rsidRPr="00E1449F">
        <w:rPr>
          <w:rFonts w:ascii="Arial" w:hAnsi="Arial" w:cs="Arial"/>
          <w:i/>
          <w:sz w:val="20"/>
          <w:szCs w:val="20"/>
        </w:rPr>
        <w:t>*** Разъяснения, предоставляются по запросу, в случа</w:t>
      </w:r>
      <w:bookmarkEnd w:id="49"/>
      <w:bookmarkEnd w:id="50"/>
      <w:bookmarkEnd w:id="51"/>
      <w:bookmarkEnd w:id="52"/>
      <w:bookmarkEnd w:id="53"/>
      <w:bookmarkEnd w:id="54"/>
      <w:r w:rsidRPr="00E1449F">
        <w:rPr>
          <w:rFonts w:ascii="Arial" w:hAnsi="Arial" w:cs="Arial"/>
          <w:i/>
          <w:sz w:val="20"/>
          <w:szCs w:val="20"/>
        </w:rPr>
        <w:t>е необходимости.</w:t>
      </w:r>
    </w:p>
    <w:p w:rsidR="00EB2DE4" w:rsidRPr="00D651BF" w:rsidRDefault="00EB2DE4" w:rsidP="00EB2DE4">
      <w:pPr>
        <w:pStyle w:val="1"/>
        <w:numPr>
          <w:ilvl w:val="0"/>
          <w:numId w:val="5"/>
        </w:numPr>
        <w:tabs>
          <w:tab w:val="left" w:pos="540"/>
        </w:tabs>
        <w:spacing w:after="240"/>
        <w:ind w:left="539" w:hanging="539"/>
        <w:rPr>
          <w:sz w:val="24"/>
          <w:szCs w:val="24"/>
        </w:rPr>
      </w:pPr>
      <w:bookmarkStart w:id="55" w:name="_Toc370229407"/>
      <w:bookmarkStart w:id="56" w:name="_Toc322961180"/>
      <w:bookmarkStart w:id="57" w:name="_Toc326066015"/>
      <w:bookmarkStart w:id="58" w:name="_Toc326066285"/>
      <w:bookmarkStart w:id="59" w:name="_Toc326067316"/>
      <w:bookmarkStart w:id="60" w:name="_Toc370295574"/>
      <w:bookmarkEnd w:id="55"/>
      <w:r w:rsidRPr="00E75603">
        <w:rPr>
          <w:sz w:val="24"/>
          <w:szCs w:val="24"/>
        </w:rPr>
        <w:t>Г</w:t>
      </w:r>
      <w:r>
        <w:rPr>
          <w:sz w:val="24"/>
          <w:szCs w:val="24"/>
        </w:rPr>
        <w:t>руппа финансовых показателей</w:t>
      </w:r>
      <w:bookmarkEnd w:id="56"/>
      <w:bookmarkEnd w:id="57"/>
      <w:bookmarkEnd w:id="58"/>
      <w:bookmarkEnd w:id="59"/>
      <w:bookmarkEnd w:id="60"/>
    </w:p>
    <w:p w:rsidR="00EB2DE4" w:rsidRPr="00C17045" w:rsidRDefault="00EB2DE4" w:rsidP="00EB2DE4">
      <w:pPr>
        <w:numPr>
          <w:ilvl w:val="1"/>
          <w:numId w:val="5"/>
        </w:numPr>
        <w:tabs>
          <w:tab w:val="clear" w:pos="792"/>
          <w:tab w:val="num" w:pos="574"/>
          <w:tab w:val="num" w:pos="709"/>
        </w:tabs>
        <w:spacing w:before="120" w:after="120"/>
        <w:ind w:left="0" w:firstLine="0"/>
        <w:jc w:val="both"/>
        <w:rPr>
          <w:rFonts w:ascii="Arial" w:hAnsi="Arial" w:cs="Arial"/>
        </w:rPr>
      </w:pPr>
      <w:r w:rsidRPr="00C17045">
        <w:rPr>
          <w:rFonts w:ascii="Arial" w:hAnsi="Arial" w:cs="Arial"/>
        </w:rPr>
        <w:t>Коэффициенты, характеризующие способность предприятия расплачиваться по финансовым обязательствам, устойчивость и рентабельность.</w:t>
      </w:r>
    </w:p>
    <w:p w:rsidR="00EB2DE4" w:rsidRPr="00C17045" w:rsidRDefault="00EB2DE4" w:rsidP="00EB2DE4">
      <w:pPr>
        <w:numPr>
          <w:ilvl w:val="2"/>
          <w:numId w:val="5"/>
        </w:numPr>
        <w:tabs>
          <w:tab w:val="clear" w:pos="1584"/>
        </w:tabs>
        <w:spacing w:before="120" w:after="120"/>
        <w:ind w:left="0" w:firstLine="0"/>
        <w:jc w:val="both"/>
        <w:rPr>
          <w:rFonts w:ascii="Arial" w:hAnsi="Arial" w:cs="Arial"/>
        </w:rPr>
      </w:pPr>
      <w:r w:rsidRPr="00C17045">
        <w:rPr>
          <w:rFonts w:ascii="Arial" w:hAnsi="Arial" w:cs="Arial"/>
        </w:rPr>
        <w:t>Доля привлеченных средств в пасс</w:t>
      </w:r>
      <w:r w:rsidRPr="00C17045">
        <w:rPr>
          <w:rFonts w:ascii="Arial" w:hAnsi="Arial" w:cs="Arial"/>
          <w:u w:val="single"/>
        </w:rPr>
        <w:t>и</w:t>
      </w:r>
      <w:r w:rsidRPr="00C17045">
        <w:rPr>
          <w:rFonts w:ascii="Arial" w:hAnsi="Arial" w:cs="Arial"/>
        </w:rPr>
        <w:t>вах.</w:t>
      </w:r>
    </w:p>
    <w:p w:rsidR="00EB2DE4" w:rsidRPr="00E75603" w:rsidRDefault="00EB2DE4" w:rsidP="00EB2DE4">
      <w:pPr>
        <w:spacing w:before="120" w:after="120"/>
        <w:jc w:val="both"/>
        <w:rPr>
          <w:rFonts w:ascii="Arial" w:hAnsi="Arial" w:cs="Arial"/>
        </w:rPr>
      </w:pPr>
      <w:r w:rsidRPr="00C17045">
        <w:rPr>
          <w:rFonts w:ascii="Arial" w:hAnsi="Arial" w:cs="Arial"/>
        </w:rPr>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компании доля собственных средств в пассивах</w:t>
      </w:r>
      <w:r w:rsidRPr="00E75603">
        <w:rPr>
          <w:rFonts w:ascii="Arial" w:hAnsi="Arial" w:cs="Arial"/>
        </w:rPr>
        <w:t>, тем больше у него возможностей для дополнительного привлечения заемных средств</w:t>
      </w:r>
      <w:r>
        <w:rPr>
          <w:rFonts w:ascii="Arial" w:hAnsi="Arial" w:cs="Arial"/>
        </w:rPr>
        <w:t>:</w:t>
      </w:r>
    </w:p>
    <w:p w:rsidR="00EB2DE4" w:rsidRPr="00E75603" w:rsidRDefault="00EB2DE4" w:rsidP="00EB2DE4">
      <w:pPr>
        <w:spacing w:before="120" w:after="120"/>
        <w:ind w:left="1134"/>
        <w:jc w:val="both"/>
        <w:rPr>
          <w:rFonts w:ascii="Arial" w:hAnsi="Arial" w:cs="Arial"/>
        </w:rPr>
      </w:pPr>
      <w:r w:rsidRPr="00763EFA">
        <w:rPr>
          <w:rFonts w:ascii="Arial" w:hAnsi="Arial" w:cs="Arial"/>
          <w:position w:val="-30"/>
        </w:rPr>
        <w:object w:dxaOrig="70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39pt" o:ole="">
            <v:imagedata r:id="rId19" o:title=""/>
          </v:shape>
          <o:OLEObject Type="Embed" ProgID="Equation.3" ShapeID="_x0000_i1025" DrawAspect="Content" ObjectID="_1519812665" r:id="rId20"/>
        </w:object>
      </w:r>
    </w:p>
    <w:p w:rsidR="00EB2DE4" w:rsidRPr="00E1449F" w:rsidRDefault="00EB2DE4" w:rsidP="00EB2DE4">
      <w:pPr>
        <w:numPr>
          <w:ilvl w:val="2"/>
          <w:numId w:val="5"/>
        </w:numPr>
        <w:tabs>
          <w:tab w:val="clear" w:pos="1584"/>
        </w:tabs>
        <w:spacing w:before="120" w:after="120"/>
        <w:ind w:left="0" w:firstLine="0"/>
        <w:jc w:val="both"/>
        <w:rPr>
          <w:rFonts w:ascii="Arial" w:hAnsi="Arial" w:cs="Arial"/>
        </w:rPr>
      </w:pPr>
      <w:r w:rsidRPr="00E1449F">
        <w:rPr>
          <w:rFonts w:ascii="Arial" w:hAnsi="Arial" w:cs="Arial"/>
        </w:rPr>
        <w:t>Рентабельность инвестированного капитала</w:t>
      </w:r>
      <w:r>
        <w:rPr>
          <w:rFonts w:ascii="Arial" w:hAnsi="Arial" w:cs="Arial"/>
        </w:rPr>
        <w:t>.</w:t>
      </w:r>
    </w:p>
    <w:p w:rsidR="00EB2DE4" w:rsidRPr="00E75603" w:rsidRDefault="00EB2DE4" w:rsidP="00EB2DE4">
      <w:pPr>
        <w:spacing w:before="120" w:after="120"/>
        <w:jc w:val="both"/>
        <w:rPr>
          <w:rFonts w:ascii="Arial" w:hAnsi="Arial" w:cs="Arial"/>
        </w:rPr>
      </w:pPr>
      <w:r w:rsidRPr="00E75603">
        <w:rPr>
          <w:rFonts w:ascii="Arial" w:hAnsi="Arial" w:cs="Arial"/>
        </w:rPr>
        <w:t>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капитала. Величина инвестированного капитала рассчитываетс</w:t>
      </w:r>
      <w:r>
        <w:rPr>
          <w:rFonts w:ascii="Arial" w:hAnsi="Arial" w:cs="Arial"/>
        </w:rPr>
        <w:t>я для целей настоящей методики</w:t>
      </w:r>
      <w:r w:rsidRPr="00E75603">
        <w:rPr>
          <w:rFonts w:ascii="Arial" w:hAnsi="Arial" w:cs="Arial"/>
        </w:rPr>
        <w:t xml:space="preserve"> как сумма собственного капитала и долгосрочных финансовых обязательств</w:t>
      </w:r>
      <w:r>
        <w:rPr>
          <w:rFonts w:ascii="Arial" w:hAnsi="Arial" w:cs="Arial"/>
        </w:rPr>
        <w:t>:</w:t>
      </w:r>
    </w:p>
    <w:p w:rsidR="00EB2DE4" w:rsidRPr="00E75603" w:rsidRDefault="00EB2DE4" w:rsidP="00EB2DE4">
      <w:pPr>
        <w:spacing w:before="120" w:after="120"/>
        <w:ind w:left="1134"/>
        <w:jc w:val="both"/>
        <w:rPr>
          <w:rFonts w:ascii="Arial" w:hAnsi="Arial" w:cs="Arial"/>
        </w:rPr>
      </w:pPr>
      <w:r w:rsidRPr="001B3689">
        <w:rPr>
          <w:rFonts w:ascii="Arial" w:hAnsi="Arial" w:cs="Arial"/>
          <w:position w:val="-30"/>
        </w:rPr>
        <w:object w:dxaOrig="7100" w:dyaOrig="680">
          <v:shape id="_x0000_i1026" type="#_x0000_t75" style="width:386.4pt;height:36.6pt" o:ole="">
            <v:imagedata r:id="rId21" o:title=""/>
          </v:shape>
          <o:OLEObject Type="Embed" ProgID="Equation.3" ShapeID="_x0000_i1026" DrawAspect="Content" ObjectID="_1519812666" r:id="rId22"/>
        </w:object>
      </w:r>
      <w:r w:rsidRPr="00E75603">
        <w:rPr>
          <w:rFonts w:ascii="Arial" w:hAnsi="Arial" w:cs="Arial"/>
        </w:rPr>
        <w:t>,</w:t>
      </w:r>
    </w:p>
    <w:p w:rsidR="00EB2DE4" w:rsidRPr="00DA62C2" w:rsidRDefault="00EB2DE4" w:rsidP="00EB2DE4">
      <w:pPr>
        <w:spacing w:before="120" w:after="120"/>
        <w:ind w:left="1134"/>
        <w:jc w:val="both"/>
        <w:rPr>
          <w:rFonts w:ascii="Arial" w:hAnsi="Arial" w:cs="Arial"/>
        </w:rPr>
      </w:pPr>
      <w:r w:rsidRPr="00E75603">
        <w:rPr>
          <w:rFonts w:ascii="Arial" w:hAnsi="Arial" w:cs="Arial"/>
        </w:rPr>
        <w:t>где Т – ставка налога на прибыль.</w:t>
      </w:r>
    </w:p>
    <w:p w:rsidR="00EB2DE4" w:rsidRPr="00E1449F" w:rsidRDefault="00EB2DE4" w:rsidP="00EB2DE4">
      <w:pPr>
        <w:numPr>
          <w:ilvl w:val="2"/>
          <w:numId w:val="5"/>
        </w:numPr>
        <w:tabs>
          <w:tab w:val="clear" w:pos="1584"/>
        </w:tabs>
        <w:spacing w:before="120" w:after="120"/>
        <w:ind w:left="0" w:firstLine="0"/>
        <w:jc w:val="both"/>
        <w:rPr>
          <w:rFonts w:ascii="Arial" w:hAnsi="Arial" w:cs="Arial"/>
        </w:rPr>
      </w:pPr>
      <w:r w:rsidRPr="00E1449F">
        <w:rPr>
          <w:rFonts w:ascii="Arial" w:hAnsi="Arial" w:cs="Arial"/>
        </w:rPr>
        <w:t>Долг / EBITDA</w:t>
      </w:r>
      <w:r>
        <w:rPr>
          <w:rFonts w:ascii="Arial" w:hAnsi="Arial" w:cs="Arial"/>
        </w:rPr>
        <w:t>.</w:t>
      </w:r>
    </w:p>
    <w:p w:rsidR="00EB2DE4" w:rsidRPr="00E75603" w:rsidRDefault="00EB2DE4" w:rsidP="00EB2DE4">
      <w:pPr>
        <w:spacing w:before="120" w:after="120"/>
        <w:jc w:val="both"/>
        <w:rPr>
          <w:rFonts w:ascii="Arial" w:hAnsi="Arial" w:cs="Arial"/>
        </w:rPr>
      </w:pPr>
      <w:r w:rsidRPr="00E75603">
        <w:rPr>
          <w:rFonts w:ascii="Arial" w:hAnsi="Arial" w:cs="Arial"/>
        </w:rPr>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компания весь свой денежный поток от операционной деятельности </w:t>
      </w:r>
      <w:r>
        <w:rPr>
          <w:rFonts w:ascii="Arial" w:hAnsi="Arial" w:cs="Arial"/>
        </w:rPr>
        <w:t>(</w:t>
      </w:r>
      <w:r w:rsidRPr="00E75603">
        <w:rPr>
          <w:rFonts w:ascii="Arial" w:hAnsi="Arial" w:cs="Arial"/>
        </w:rPr>
        <w:t>в оценке через EBITDA</w:t>
      </w:r>
      <w:r>
        <w:rPr>
          <w:rFonts w:ascii="Arial" w:hAnsi="Arial" w:cs="Arial"/>
        </w:rPr>
        <w:t>)</w:t>
      </w:r>
      <w:r w:rsidRPr="00E75603">
        <w:rPr>
          <w:rFonts w:ascii="Arial" w:hAnsi="Arial" w:cs="Arial"/>
        </w:rPr>
        <w:t xml:space="preserve"> будет направлять на эти цели, т.е. оценивает платежеспособность </w:t>
      </w:r>
      <w:r>
        <w:rPr>
          <w:rFonts w:ascii="Arial" w:hAnsi="Arial" w:cs="Arial"/>
        </w:rPr>
        <w:lastRenderedPageBreak/>
        <w:t>компании</w:t>
      </w:r>
      <w:r w:rsidRPr="00E75603">
        <w:rPr>
          <w:rFonts w:ascii="Arial" w:hAnsi="Arial" w:cs="Arial"/>
        </w:rPr>
        <w:t xml:space="preserve"> в долгосрочном периоде перед банками и другими финансовыми и</w:t>
      </w:r>
      <w:r>
        <w:rPr>
          <w:rFonts w:ascii="Arial" w:hAnsi="Arial" w:cs="Arial"/>
        </w:rPr>
        <w:t xml:space="preserve">нститутами. Для целей осуществления финансово-экономической экспертизы </w:t>
      </w:r>
      <w:r w:rsidRPr="00E1449F">
        <w:rPr>
          <w:rFonts w:ascii="Arial" w:hAnsi="Arial" w:cs="Arial"/>
        </w:rPr>
        <w:t>EBITDA</w:t>
      </w:r>
      <w:r w:rsidRPr="00751F27">
        <w:rPr>
          <w:rFonts w:ascii="Arial" w:hAnsi="Arial" w:cs="Arial"/>
        </w:rPr>
        <w:t xml:space="preserve"> </w:t>
      </w:r>
      <w:r>
        <w:rPr>
          <w:rFonts w:ascii="Arial" w:hAnsi="Arial" w:cs="Arial"/>
        </w:rPr>
        <w:t>определяется как Прибыль до налогообложения + Проценты к уплате + Амортизация (</w:t>
      </w:r>
      <w:r w:rsidRPr="00E75603">
        <w:rPr>
          <w:rFonts w:ascii="Arial" w:hAnsi="Arial" w:cs="Arial"/>
        </w:rPr>
        <w:t xml:space="preserve">амортизация </w:t>
      </w:r>
      <w:r>
        <w:rPr>
          <w:rFonts w:ascii="Arial" w:hAnsi="Arial" w:cs="Arial"/>
        </w:rPr>
        <w:t>может рассчитыва</w:t>
      </w:r>
      <w:r w:rsidRPr="00E75603">
        <w:rPr>
          <w:rFonts w:ascii="Arial" w:hAnsi="Arial" w:cs="Arial"/>
        </w:rPr>
        <w:t>т</w:t>
      </w:r>
      <w:r>
        <w:rPr>
          <w:rFonts w:ascii="Arial" w:hAnsi="Arial" w:cs="Arial"/>
        </w:rPr>
        <w:t>ь</w:t>
      </w:r>
      <w:r w:rsidRPr="00E75603">
        <w:rPr>
          <w:rFonts w:ascii="Arial" w:hAnsi="Arial" w:cs="Arial"/>
        </w:rPr>
        <w:t>ся оценочно, как фиксированная доля от величины основных средств</w:t>
      </w:r>
      <w:r>
        <w:rPr>
          <w:rFonts w:ascii="Arial" w:hAnsi="Arial" w:cs="Arial"/>
        </w:rPr>
        <w:t>):</w:t>
      </w:r>
    </w:p>
    <w:p w:rsidR="00EB2DE4" w:rsidRPr="00DA62C2" w:rsidRDefault="00EB2DE4" w:rsidP="00EB2DE4">
      <w:pPr>
        <w:spacing w:before="120" w:after="120"/>
        <w:ind w:left="1134"/>
        <w:jc w:val="both"/>
        <w:rPr>
          <w:rFonts w:ascii="Arial" w:hAnsi="Arial" w:cs="Arial"/>
        </w:rPr>
      </w:pPr>
      <w:r w:rsidRPr="001B3689">
        <w:rPr>
          <w:rFonts w:ascii="Arial" w:hAnsi="Arial" w:cs="Arial"/>
          <w:position w:val="-24"/>
        </w:rPr>
        <w:object w:dxaOrig="8520" w:dyaOrig="620">
          <v:shape id="_x0000_i1027" type="#_x0000_t75" style="width:397.2pt;height:28.8pt" o:ole="">
            <v:imagedata r:id="rId23" o:title=""/>
          </v:shape>
          <o:OLEObject Type="Embed" ProgID="Equation.3" ShapeID="_x0000_i1027" DrawAspect="Content" ObjectID="_1519812667" r:id="rId24"/>
        </w:object>
      </w:r>
    </w:p>
    <w:p w:rsidR="00EB2DE4" w:rsidRPr="006B3617" w:rsidRDefault="00EB2DE4" w:rsidP="00EB2DE4">
      <w:pPr>
        <w:jc w:val="right"/>
        <w:rPr>
          <w:rFonts w:ascii="Arial" w:hAnsi="Arial" w:cs="Arial"/>
        </w:rPr>
      </w:pPr>
      <w:r w:rsidRPr="006B3617">
        <w:rPr>
          <w:rFonts w:ascii="Arial" w:hAnsi="Arial" w:cs="Arial"/>
        </w:rPr>
        <w:t xml:space="preserve">Таблица </w:t>
      </w:r>
      <w:r>
        <w:rPr>
          <w:rFonts w:ascii="Arial" w:hAnsi="Arial" w:cs="Arial"/>
        </w:rPr>
        <w:t>1. Перевод значений финансовых показателей в баллы по шкале от 0 до 1.</w:t>
      </w:r>
    </w:p>
    <w:p w:rsidR="00EB2DE4" w:rsidRDefault="00EB2DE4" w:rsidP="00EB2DE4">
      <w:pPr>
        <w:jc w:val="both"/>
      </w:pPr>
    </w:p>
    <w:tbl>
      <w:tblPr>
        <w:tblW w:w="9660" w:type="dxa"/>
        <w:tblInd w:w="93" w:type="dxa"/>
        <w:tblLayout w:type="fixed"/>
        <w:tblLook w:val="04A0" w:firstRow="1" w:lastRow="0" w:firstColumn="1" w:lastColumn="0" w:noHBand="0" w:noVBand="1"/>
      </w:tblPr>
      <w:tblGrid>
        <w:gridCol w:w="1858"/>
        <w:gridCol w:w="851"/>
        <w:gridCol w:w="850"/>
        <w:gridCol w:w="851"/>
        <w:gridCol w:w="567"/>
        <w:gridCol w:w="567"/>
        <w:gridCol w:w="567"/>
        <w:gridCol w:w="567"/>
        <w:gridCol w:w="567"/>
        <w:gridCol w:w="567"/>
        <w:gridCol w:w="567"/>
        <w:gridCol w:w="1281"/>
      </w:tblGrid>
      <w:tr w:rsidR="00EB2DE4" w:rsidTr="00C162FA">
        <w:trPr>
          <w:trHeight w:val="300"/>
        </w:trPr>
        <w:tc>
          <w:tcPr>
            <w:tcW w:w="1858"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EB2DE4" w:rsidRDefault="00EB2DE4" w:rsidP="00C162FA">
            <w:pPr>
              <w:rPr>
                <w:rFonts w:ascii="Calibri" w:hAnsi="Calibri" w:cs="Calibri"/>
                <w:color w:val="000000"/>
                <w:sz w:val="22"/>
                <w:szCs w:val="22"/>
              </w:rPr>
            </w:pPr>
            <w:r>
              <w:rPr>
                <w:rFonts w:ascii="Calibri" w:hAnsi="Calibri" w:cs="Calibri"/>
                <w:color w:val="000000"/>
                <w:sz w:val="22"/>
                <w:szCs w:val="22"/>
              </w:rPr>
              <w:t>Оценка</w:t>
            </w:r>
          </w:p>
          <w:p w:rsidR="00EB2DE4" w:rsidRDefault="00EB2DE4" w:rsidP="00C162FA">
            <w:pPr>
              <w:rPr>
                <w:rFonts w:ascii="Calibri" w:hAnsi="Calibri" w:cs="Calibri"/>
                <w:color w:val="000000"/>
                <w:sz w:val="22"/>
                <w:szCs w:val="22"/>
              </w:rPr>
            </w:pPr>
            <w:r>
              <w:rPr>
                <w:rFonts w:ascii="Calibri" w:hAnsi="Calibri" w:cs="Calibri"/>
                <w:color w:val="000000"/>
                <w:sz w:val="22"/>
                <w:szCs w:val="22"/>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0,0</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0,3</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0,4</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0,9</w:t>
            </w:r>
          </w:p>
        </w:tc>
        <w:tc>
          <w:tcPr>
            <w:tcW w:w="1281"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1,0</w:t>
            </w:r>
          </w:p>
        </w:tc>
      </w:tr>
      <w:tr w:rsidR="00EB2DE4" w:rsidRPr="00714555" w:rsidTr="00C162FA">
        <w:trPr>
          <w:trHeight w:val="600"/>
        </w:trPr>
        <w:tc>
          <w:tcPr>
            <w:tcW w:w="1858" w:type="dxa"/>
            <w:tcBorders>
              <w:top w:val="nil"/>
              <w:left w:val="single" w:sz="4" w:space="0" w:color="auto"/>
              <w:bottom w:val="single" w:sz="4" w:space="0" w:color="auto"/>
              <w:right w:val="single" w:sz="4" w:space="0" w:color="auto"/>
            </w:tcBorders>
            <w:shd w:val="clear" w:color="auto" w:fill="auto"/>
            <w:vAlign w:val="center"/>
          </w:tcPr>
          <w:p w:rsidR="00EB2DE4" w:rsidRPr="00714555" w:rsidRDefault="00EB2DE4" w:rsidP="00C162FA">
            <w:pPr>
              <w:rPr>
                <w:rFonts w:ascii="Calibri" w:hAnsi="Calibri" w:cs="Calibri"/>
                <w:color w:val="000000"/>
                <w:sz w:val="20"/>
                <w:szCs w:val="20"/>
              </w:rPr>
            </w:pPr>
            <w:r>
              <w:rPr>
                <w:rFonts w:ascii="Calibri" w:hAnsi="Calibri" w:cs="Calibri"/>
                <w:color w:val="000000"/>
                <w:sz w:val="20"/>
                <w:szCs w:val="20"/>
              </w:rPr>
              <w:t>Доля привл-</w:t>
            </w:r>
            <w:r w:rsidRPr="00714555">
              <w:rPr>
                <w:rFonts w:ascii="Calibri" w:hAnsi="Calibri" w:cs="Calibri"/>
                <w:color w:val="000000"/>
                <w:sz w:val="20"/>
                <w:szCs w:val="20"/>
              </w:rPr>
              <w:t>ных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100%</w:t>
            </w:r>
            <w:r>
              <w:rPr>
                <w:rFonts w:ascii="Calibri" w:hAnsi="Calibri" w:cs="Calibri"/>
                <w:color w:val="000000"/>
                <w:sz w:val="20"/>
                <w:szCs w:val="20"/>
              </w:rPr>
              <w:t xml:space="preserve"> и более</w:t>
            </w:r>
          </w:p>
        </w:tc>
        <w:tc>
          <w:tcPr>
            <w:tcW w:w="850"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99,5%</w:t>
            </w:r>
          </w:p>
        </w:tc>
        <w:tc>
          <w:tcPr>
            <w:tcW w:w="851"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98,5%</w:t>
            </w:r>
          </w:p>
        </w:tc>
        <w:tc>
          <w:tcPr>
            <w:tcW w:w="567"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98%</w:t>
            </w:r>
          </w:p>
        </w:tc>
        <w:tc>
          <w:tcPr>
            <w:tcW w:w="567" w:type="dxa"/>
            <w:tcBorders>
              <w:top w:val="nil"/>
              <w:left w:val="nil"/>
              <w:bottom w:val="single" w:sz="4" w:space="0" w:color="auto"/>
              <w:right w:val="single" w:sz="4" w:space="0" w:color="auto"/>
            </w:tcBorders>
            <w:shd w:val="clear" w:color="000000" w:fill="F8FFB9"/>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96%</w:t>
            </w:r>
          </w:p>
        </w:tc>
        <w:tc>
          <w:tcPr>
            <w:tcW w:w="567" w:type="dxa"/>
            <w:tcBorders>
              <w:top w:val="nil"/>
              <w:left w:val="nil"/>
              <w:bottom w:val="single" w:sz="4" w:space="0" w:color="auto"/>
              <w:right w:val="single" w:sz="4" w:space="0" w:color="auto"/>
            </w:tcBorders>
            <w:shd w:val="clear" w:color="000000" w:fill="F8FFB9"/>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94%</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92%</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90%</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83%</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76%</w:t>
            </w:r>
          </w:p>
        </w:tc>
        <w:tc>
          <w:tcPr>
            <w:tcW w:w="1281"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до 70%</w:t>
            </w:r>
          </w:p>
        </w:tc>
      </w:tr>
      <w:tr w:rsidR="00EB2DE4" w:rsidRPr="00714555" w:rsidTr="00C162FA">
        <w:trPr>
          <w:trHeight w:val="915"/>
        </w:trPr>
        <w:tc>
          <w:tcPr>
            <w:tcW w:w="1858" w:type="dxa"/>
            <w:tcBorders>
              <w:top w:val="nil"/>
              <w:left w:val="single" w:sz="4" w:space="0" w:color="auto"/>
              <w:bottom w:val="single" w:sz="4" w:space="0" w:color="auto"/>
              <w:right w:val="single" w:sz="4" w:space="0" w:color="auto"/>
            </w:tcBorders>
            <w:shd w:val="clear" w:color="auto" w:fill="auto"/>
            <w:vAlign w:val="center"/>
          </w:tcPr>
          <w:p w:rsidR="00EB2DE4" w:rsidRPr="00714555" w:rsidRDefault="00EB2DE4" w:rsidP="00C162FA">
            <w:pPr>
              <w:rPr>
                <w:rFonts w:ascii="Calibri" w:hAnsi="Calibri" w:cs="Calibri"/>
                <w:color w:val="000000"/>
                <w:sz w:val="20"/>
                <w:szCs w:val="20"/>
              </w:rPr>
            </w:pPr>
            <w:r w:rsidRPr="00714555">
              <w:rPr>
                <w:rFonts w:ascii="Calibri" w:hAnsi="Calibri" w:cs="Calibri"/>
                <w:color w:val="000000"/>
                <w:sz w:val="20"/>
                <w:szCs w:val="20"/>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убыток более 10%</w:t>
            </w:r>
          </w:p>
        </w:tc>
        <w:tc>
          <w:tcPr>
            <w:tcW w:w="850"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-10%</w:t>
            </w:r>
          </w:p>
        </w:tc>
        <w:tc>
          <w:tcPr>
            <w:tcW w:w="851"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-7%</w:t>
            </w:r>
          </w:p>
        </w:tc>
        <w:tc>
          <w:tcPr>
            <w:tcW w:w="567"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-3%</w:t>
            </w:r>
          </w:p>
        </w:tc>
        <w:tc>
          <w:tcPr>
            <w:tcW w:w="567" w:type="dxa"/>
            <w:tcBorders>
              <w:top w:val="nil"/>
              <w:left w:val="nil"/>
              <w:bottom w:val="single" w:sz="4" w:space="0" w:color="auto"/>
              <w:right w:val="single" w:sz="4" w:space="0" w:color="auto"/>
            </w:tcBorders>
            <w:shd w:val="clear" w:color="000000" w:fill="F8FFB9"/>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0%</w:t>
            </w:r>
          </w:p>
        </w:tc>
        <w:tc>
          <w:tcPr>
            <w:tcW w:w="567" w:type="dxa"/>
            <w:tcBorders>
              <w:top w:val="nil"/>
              <w:left w:val="nil"/>
              <w:bottom w:val="single" w:sz="4" w:space="0" w:color="auto"/>
              <w:right w:val="single" w:sz="4" w:space="0" w:color="auto"/>
            </w:tcBorders>
            <w:shd w:val="clear" w:color="000000" w:fill="F8FFB9"/>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3%</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7%</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10%</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13%</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17%</w:t>
            </w:r>
          </w:p>
        </w:tc>
        <w:tc>
          <w:tcPr>
            <w:tcW w:w="1281" w:type="dxa"/>
            <w:tcBorders>
              <w:top w:val="nil"/>
              <w:left w:val="nil"/>
              <w:bottom w:val="single" w:sz="4" w:space="0" w:color="auto"/>
              <w:right w:val="single" w:sz="4" w:space="0" w:color="auto"/>
            </w:tcBorders>
            <w:shd w:val="clear" w:color="000000" w:fill="C6FED1"/>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более 20%</w:t>
            </w:r>
          </w:p>
        </w:tc>
      </w:tr>
      <w:tr w:rsidR="00EB2DE4" w:rsidRPr="00714555" w:rsidTr="00C162FA">
        <w:trPr>
          <w:trHeight w:val="600"/>
        </w:trPr>
        <w:tc>
          <w:tcPr>
            <w:tcW w:w="1858" w:type="dxa"/>
            <w:tcBorders>
              <w:top w:val="nil"/>
              <w:left w:val="single" w:sz="4" w:space="0" w:color="auto"/>
              <w:bottom w:val="single" w:sz="4" w:space="0" w:color="auto"/>
              <w:right w:val="single" w:sz="4" w:space="0" w:color="auto"/>
            </w:tcBorders>
            <w:shd w:val="clear" w:color="auto" w:fill="auto"/>
            <w:vAlign w:val="center"/>
          </w:tcPr>
          <w:p w:rsidR="00EB2DE4" w:rsidRPr="00714555" w:rsidRDefault="00EB2DE4" w:rsidP="00C162FA">
            <w:pPr>
              <w:rPr>
                <w:rFonts w:ascii="Calibri" w:hAnsi="Calibri" w:cs="Calibri"/>
                <w:color w:val="000000"/>
                <w:sz w:val="20"/>
                <w:szCs w:val="20"/>
              </w:rPr>
            </w:pPr>
            <w:r w:rsidRPr="00714555">
              <w:rPr>
                <w:rFonts w:ascii="Calibri" w:hAnsi="Calibri" w:cs="Calibri"/>
                <w:color w:val="000000"/>
                <w:sz w:val="20"/>
                <w:szCs w:val="20"/>
              </w:rPr>
              <w:t>Долг / EBITDA, лет</w:t>
            </w:r>
          </w:p>
        </w:tc>
        <w:tc>
          <w:tcPr>
            <w:tcW w:w="851" w:type="dxa"/>
            <w:tcBorders>
              <w:top w:val="nil"/>
              <w:left w:val="nil"/>
              <w:bottom w:val="single" w:sz="4" w:space="0" w:color="auto"/>
              <w:right w:val="single" w:sz="4" w:space="0" w:color="auto"/>
            </w:tcBorders>
            <w:shd w:val="clear" w:color="000000" w:fill="FFE5E5"/>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более 12 лет</w:t>
            </w:r>
          </w:p>
        </w:tc>
        <w:tc>
          <w:tcPr>
            <w:tcW w:w="850"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11</w:t>
            </w:r>
          </w:p>
        </w:tc>
        <w:tc>
          <w:tcPr>
            <w:tcW w:w="851"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10</w:t>
            </w:r>
          </w:p>
        </w:tc>
        <w:tc>
          <w:tcPr>
            <w:tcW w:w="567" w:type="dxa"/>
            <w:tcBorders>
              <w:top w:val="nil"/>
              <w:left w:val="nil"/>
              <w:bottom w:val="single" w:sz="4" w:space="0" w:color="auto"/>
              <w:right w:val="single" w:sz="4" w:space="0" w:color="auto"/>
            </w:tcBorders>
            <w:shd w:val="clear" w:color="000000" w:fill="FFE5E5"/>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9</w:t>
            </w:r>
          </w:p>
        </w:tc>
        <w:tc>
          <w:tcPr>
            <w:tcW w:w="567" w:type="dxa"/>
            <w:tcBorders>
              <w:top w:val="nil"/>
              <w:left w:val="nil"/>
              <w:bottom w:val="single" w:sz="4" w:space="0" w:color="auto"/>
              <w:right w:val="single" w:sz="4" w:space="0" w:color="auto"/>
            </w:tcBorders>
            <w:shd w:val="clear" w:color="000000" w:fill="F8FFB9"/>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8</w:t>
            </w:r>
          </w:p>
        </w:tc>
        <w:tc>
          <w:tcPr>
            <w:tcW w:w="567" w:type="dxa"/>
            <w:tcBorders>
              <w:top w:val="nil"/>
              <w:left w:val="nil"/>
              <w:bottom w:val="single" w:sz="4" w:space="0" w:color="auto"/>
              <w:right w:val="single" w:sz="4" w:space="0" w:color="auto"/>
            </w:tcBorders>
            <w:shd w:val="clear" w:color="000000" w:fill="F8FFB9"/>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7</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6</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5</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4</w:t>
            </w:r>
          </w:p>
        </w:tc>
        <w:tc>
          <w:tcPr>
            <w:tcW w:w="567" w:type="dxa"/>
            <w:tcBorders>
              <w:top w:val="nil"/>
              <w:left w:val="nil"/>
              <w:bottom w:val="single" w:sz="4" w:space="0" w:color="auto"/>
              <w:right w:val="single" w:sz="4" w:space="0" w:color="auto"/>
            </w:tcBorders>
            <w:shd w:val="clear" w:color="000000" w:fill="C6FED1"/>
            <w:noWrap/>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3</w:t>
            </w:r>
          </w:p>
        </w:tc>
        <w:tc>
          <w:tcPr>
            <w:tcW w:w="1281" w:type="dxa"/>
            <w:tcBorders>
              <w:top w:val="nil"/>
              <w:left w:val="nil"/>
              <w:bottom w:val="single" w:sz="4" w:space="0" w:color="auto"/>
              <w:right w:val="single" w:sz="4" w:space="0" w:color="auto"/>
            </w:tcBorders>
            <w:shd w:val="clear" w:color="000000" w:fill="C6FED1"/>
            <w:vAlign w:val="center"/>
          </w:tcPr>
          <w:p w:rsidR="00EB2DE4" w:rsidRPr="00714555" w:rsidRDefault="00EB2DE4" w:rsidP="00C162FA">
            <w:pPr>
              <w:jc w:val="center"/>
              <w:rPr>
                <w:rFonts w:ascii="Calibri" w:hAnsi="Calibri" w:cs="Calibri"/>
                <w:color w:val="000000"/>
                <w:sz w:val="20"/>
                <w:szCs w:val="20"/>
              </w:rPr>
            </w:pPr>
            <w:r w:rsidRPr="00714555">
              <w:rPr>
                <w:rFonts w:ascii="Calibri" w:hAnsi="Calibri" w:cs="Calibri"/>
                <w:color w:val="000000"/>
                <w:sz w:val="20"/>
                <w:szCs w:val="20"/>
              </w:rPr>
              <w:t>менее 2 лет</w:t>
            </w:r>
          </w:p>
        </w:tc>
      </w:tr>
    </w:tbl>
    <w:p w:rsidR="00EB2DE4" w:rsidRPr="00E1449F"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E1449F">
        <w:rPr>
          <w:rFonts w:ascii="Arial" w:hAnsi="Arial" w:cs="Arial"/>
        </w:rPr>
        <w:t>Коэффициенты, характеризующие операционную деятельность</w:t>
      </w:r>
      <w:r>
        <w:rPr>
          <w:rFonts w:ascii="Arial" w:hAnsi="Arial" w:cs="Arial"/>
        </w:rPr>
        <w:t>.</w:t>
      </w:r>
    </w:p>
    <w:p w:rsidR="00EB2DE4" w:rsidRPr="00E1449F" w:rsidRDefault="00EB2DE4" w:rsidP="00EB2DE4">
      <w:pPr>
        <w:numPr>
          <w:ilvl w:val="2"/>
          <w:numId w:val="5"/>
        </w:numPr>
        <w:tabs>
          <w:tab w:val="clear" w:pos="1584"/>
          <w:tab w:val="num" w:pos="0"/>
        </w:tabs>
        <w:spacing w:before="120" w:after="120"/>
        <w:ind w:left="0" w:firstLine="0"/>
        <w:jc w:val="both"/>
        <w:rPr>
          <w:rFonts w:ascii="Arial" w:hAnsi="Arial" w:cs="Arial"/>
        </w:rPr>
      </w:pPr>
      <w:r w:rsidRPr="00E1449F">
        <w:rPr>
          <w:rFonts w:ascii="Arial" w:hAnsi="Arial" w:cs="Arial"/>
        </w:rPr>
        <w:t>Период оборота кредиторской задолженности</w:t>
      </w:r>
      <w:r>
        <w:rPr>
          <w:rFonts w:ascii="Arial" w:hAnsi="Arial" w:cs="Arial"/>
        </w:rPr>
        <w:t>.</w:t>
      </w:r>
    </w:p>
    <w:p w:rsidR="00EB2DE4" w:rsidRPr="006B3617" w:rsidRDefault="00EB2DE4" w:rsidP="00EB2DE4">
      <w:pPr>
        <w:spacing w:before="120" w:after="120"/>
        <w:jc w:val="both"/>
        <w:rPr>
          <w:rFonts w:ascii="Arial" w:hAnsi="Arial" w:cs="Arial"/>
        </w:rPr>
      </w:pPr>
      <w:r w:rsidRPr="006B3617">
        <w:rPr>
          <w:rFonts w:ascii="Arial" w:hAnsi="Arial" w:cs="Arial"/>
        </w:rPr>
        <w:t xml:space="preserve">Показатель оценивает срок (в днях), в течение которого краткосрочная кредиторская задолженность может быть погашена. Т.е. оценивает платежеспособность </w:t>
      </w:r>
      <w:r>
        <w:rPr>
          <w:rFonts w:ascii="Arial" w:hAnsi="Arial" w:cs="Arial"/>
        </w:rPr>
        <w:t>компании</w:t>
      </w:r>
      <w:r w:rsidRPr="006B3617">
        <w:rPr>
          <w:rFonts w:ascii="Arial" w:hAnsi="Arial" w:cs="Arial"/>
        </w:rPr>
        <w:t xml:space="preserve"> в краткосрочном периоде перед краткосрочными коммерческими кредиторами</w:t>
      </w:r>
      <w:r>
        <w:rPr>
          <w:rFonts w:ascii="Arial" w:hAnsi="Arial" w:cs="Arial"/>
        </w:rPr>
        <w:t>:</w:t>
      </w:r>
    </w:p>
    <w:p w:rsidR="00EB2DE4" w:rsidRPr="006B3617" w:rsidRDefault="00EB2DE4" w:rsidP="00EB2DE4">
      <w:pPr>
        <w:spacing w:before="120" w:after="120"/>
        <w:ind w:left="1134"/>
        <w:jc w:val="both"/>
        <w:rPr>
          <w:rFonts w:ascii="Arial" w:hAnsi="Arial" w:cs="Arial"/>
          <w:b/>
          <w:i/>
        </w:rPr>
      </w:pPr>
      <w:r w:rsidRPr="006B3617">
        <w:rPr>
          <w:rFonts w:ascii="Arial" w:hAnsi="Arial" w:cs="Arial"/>
        </w:rPr>
        <w:object w:dxaOrig="4780" w:dyaOrig="680">
          <v:shape id="_x0000_i1028" type="#_x0000_t75" style="width:238.8pt;height:34.2pt" o:ole="">
            <v:imagedata r:id="rId25" o:title=""/>
          </v:shape>
          <o:OLEObject Type="Embed" ProgID="Equation.3" ShapeID="_x0000_i1028" DrawAspect="Content" ObjectID="_1519812668" r:id="rId26"/>
        </w:object>
      </w:r>
    </w:p>
    <w:p w:rsidR="00EB2DE4" w:rsidRPr="00E1449F" w:rsidRDefault="00EB2DE4" w:rsidP="00EB2DE4">
      <w:pPr>
        <w:numPr>
          <w:ilvl w:val="2"/>
          <w:numId w:val="5"/>
        </w:numPr>
        <w:tabs>
          <w:tab w:val="clear" w:pos="1584"/>
          <w:tab w:val="num" w:pos="0"/>
        </w:tabs>
        <w:spacing w:before="120" w:after="120"/>
        <w:ind w:left="0" w:firstLine="0"/>
        <w:jc w:val="both"/>
        <w:rPr>
          <w:rFonts w:ascii="Arial" w:hAnsi="Arial" w:cs="Arial"/>
        </w:rPr>
      </w:pPr>
      <w:r w:rsidRPr="00E1449F">
        <w:rPr>
          <w:rFonts w:ascii="Arial" w:hAnsi="Arial" w:cs="Arial"/>
        </w:rPr>
        <w:t>Период оборота дебиторской задолженности.</w:t>
      </w:r>
    </w:p>
    <w:p w:rsidR="00EB2DE4" w:rsidRPr="006B3617" w:rsidRDefault="00EB2DE4" w:rsidP="00EB2DE4">
      <w:pPr>
        <w:spacing w:before="120" w:after="120"/>
        <w:jc w:val="both"/>
        <w:rPr>
          <w:rFonts w:ascii="Arial" w:hAnsi="Arial" w:cs="Arial"/>
        </w:rPr>
      </w:pPr>
      <w:r w:rsidRPr="006B3617">
        <w:rPr>
          <w:rFonts w:ascii="Arial" w:hAnsi="Arial" w:cs="Arial"/>
        </w:rPr>
        <w:t>Показатель оценивает срок (в днях), в течение которого покупатели в среднем расплачиваются с оцениваемой компанией, т. е. косвенно характеризует платежеспособность покупателей, а также эффективность мероприятий по сбору платежей:</w:t>
      </w:r>
    </w:p>
    <w:p w:rsidR="00EB2DE4" w:rsidRDefault="00EB2DE4" w:rsidP="00EB2DE4">
      <w:pPr>
        <w:spacing w:before="120" w:after="120"/>
        <w:ind w:left="1134"/>
        <w:jc w:val="both"/>
        <w:rPr>
          <w:rFonts w:ascii="Arial" w:hAnsi="Arial" w:cs="Arial"/>
        </w:rPr>
      </w:pPr>
      <w:r w:rsidRPr="006B3617">
        <w:rPr>
          <w:rFonts w:ascii="Arial" w:hAnsi="Arial" w:cs="Arial"/>
        </w:rPr>
        <w:object w:dxaOrig="4819" w:dyaOrig="680">
          <v:shape id="_x0000_i1029" type="#_x0000_t75" style="width:241.2pt;height:34.2pt" o:ole="">
            <v:imagedata r:id="rId27" o:title=""/>
          </v:shape>
          <o:OLEObject Type="Embed" ProgID="Equation.3" ShapeID="_x0000_i1029" DrawAspect="Content" ObjectID="_1519812669" r:id="rId28"/>
        </w:object>
      </w:r>
    </w:p>
    <w:p w:rsidR="00EB2DE4" w:rsidRDefault="00EB2DE4" w:rsidP="00EB2DE4">
      <w:pPr>
        <w:jc w:val="right"/>
        <w:rPr>
          <w:rFonts w:ascii="Arial" w:hAnsi="Arial" w:cs="Arial"/>
        </w:rPr>
      </w:pPr>
      <w:r w:rsidRPr="006B3617">
        <w:rPr>
          <w:rFonts w:ascii="Arial" w:hAnsi="Arial" w:cs="Arial"/>
        </w:rPr>
        <w:t xml:space="preserve">Таблица </w:t>
      </w:r>
      <w:r>
        <w:rPr>
          <w:rFonts w:ascii="Arial" w:hAnsi="Arial" w:cs="Arial"/>
        </w:rPr>
        <w:t>2. Перевод значений финансовых показателей в баллы по шкале от 0 до 1.</w:t>
      </w:r>
    </w:p>
    <w:p w:rsidR="00EB2DE4" w:rsidRPr="006B3617" w:rsidRDefault="00EB2DE4" w:rsidP="00EB2DE4">
      <w:pPr>
        <w:jc w:val="right"/>
        <w:rPr>
          <w:rFonts w:ascii="Arial" w:hAnsi="Arial" w:cs="Arial"/>
        </w:rPr>
      </w:pPr>
    </w:p>
    <w:tbl>
      <w:tblPr>
        <w:tblW w:w="9660" w:type="dxa"/>
        <w:tblInd w:w="93" w:type="dxa"/>
        <w:tblLayout w:type="fixed"/>
        <w:tblLook w:val="04A0" w:firstRow="1" w:lastRow="0" w:firstColumn="1" w:lastColumn="0" w:noHBand="0" w:noVBand="1"/>
      </w:tblPr>
      <w:tblGrid>
        <w:gridCol w:w="1940"/>
        <w:gridCol w:w="888"/>
        <w:gridCol w:w="658"/>
        <w:gridCol w:w="658"/>
        <w:gridCol w:w="658"/>
        <w:gridCol w:w="658"/>
        <w:gridCol w:w="658"/>
        <w:gridCol w:w="658"/>
        <w:gridCol w:w="658"/>
        <w:gridCol w:w="658"/>
        <w:gridCol w:w="658"/>
        <w:gridCol w:w="910"/>
      </w:tblGrid>
      <w:tr w:rsidR="00EB2DE4" w:rsidTr="00C162FA">
        <w:trPr>
          <w:trHeight w:val="313"/>
        </w:trPr>
        <w:tc>
          <w:tcPr>
            <w:tcW w:w="1940" w:type="dxa"/>
            <w:tcBorders>
              <w:top w:val="single" w:sz="4" w:space="0" w:color="auto"/>
              <w:left w:val="single" w:sz="4" w:space="0" w:color="auto"/>
              <w:bottom w:val="single" w:sz="4" w:space="0" w:color="auto"/>
              <w:right w:val="single" w:sz="4" w:space="0" w:color="auto"/>
            </w:tcBorders>
            <w:shd w:val="clear" w:color="000000" w:fill="F2F2F2"/>
            <w:noWrap/>
            <w:vAlign w:val="bottom"/>
          </w:tcPr>
          <w:p w:rsidR="00EB2DE4" w:rsidRDefault="00EB2DE4" w:rsidP="00C162FA">
            <w:pPr>
              <w:rPr>
                <w:rFonts w:ascii="Calibri" w:hAnsi="Calibri" w:cs="Calibri"/>
                <w:color w:val="000000"/>
                <w:sz w:val="22"/>
                <w:szCs w:val="22"/>
              </w:rPr>
            </w:pPr>
            <w:r>
              <w:rPr>
                <w:rFonts w:ascii="Calibri" w:hAnsi="Calibri" w:cs="Calibri"/>
                <w:color w:val="000000"/>
                <w:sz w:val="22"/>
                <w:szCs w:val="22"/>
              </w:rPr>
              <w:t>Оценка</w:t>
            </w:r>
          </w:p>
          <w:p w:rsidR="00EB2DE4" w:rsidRDefault="00EB2DE4" w:rsidP="00C162FA">
            <w:pPr>
              <w:rPr>
                <w:rFonts w:ascii="Calibri" w:hAnsi="Calibri" w:cs="Calibri"/>
                <w:color w:val="000000"/>
                <w:sz w:val="22"/>
                <w:szCs w:val="22"/>
              </w:rPr>
            </w:pPr>
            <w:r>
              <w:rPr>
                <w:rFonts w:ascii="Calibri" w:hAnsi="Calibri" w:cs="Calibri"/>
                <w:color w:val="000000"/>
                <w:sz w:val="22"/>
                <w:szCs w:val="22"/>
              </w:rPr>
              <w:t>(мин 0 - макс 1)</w:t>
            </w:r>
          </w:p>
        </w:tc>
        <w:tc>
          <w:tcPr>
            <w:tcW w:w="88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0,0</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0,1</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0,2</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0,3</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0,4</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0,5</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0,6</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0,7</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0,8</w:t>
            </w:r>
          </w:p>
        </w:tc>
        <w:tc>
          <w:tcPr>
            <w:tcW w:w="658"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0,9</w:t>
            </w:r>
          </w:p>
        </w:tc>
        <w:tc>
          <w:tcPr>
            <w:tcW w:w="910"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1,0</w:t>
            </w:r>
          </w:p>
        </w:tc>
      </w:tr>
      <w:tr w:rsidR="00EB2DE4" w:rsidRPr="0048190A" w:rsidTr="00C162FA">
        <w:trPr>
          <w:trHeight w:val="627"/>
        </w:trPr>
        <w:tc>
          <w:tcPr>
            <w:tcW w:w="1940" w:type="dxa"/>
            <w:tcBorders>
              <w:top w:val="nil"/>
              <w:left w:val="single" w:sz="4" w:space="0" w:color="auto"/>
              <w:bottom w:val="single" w:sz="4" w:space="0" w:color="auto"/>
              <w:right w:val="single" w:sz="4" w:space="0" w:color="auto"/>
            </w:tcBorders>
            <w:shd w:val="clear" w:color="auto" w:fill="auto"/>
          </w:tcPr>
          <w:p w:rsidR="00EB2DE4" w:rsidRPr="0048190A" w:rsidRDefault="00EB2DE4" w:rsidP="00C162FA">
            <w:pPr>
              <w:rPr>
                <w:rFonts w:ascii="Calibri" w:hAnsi="Calibri" w:cs="Calibri"/>
                <w:color w:val="000000"/>
                <w:sz w:val="20"/>
                <w:szCs w:val="20"/>
              </w:rPr>
            </w:pPr>
            <w:r>
              <w:rPr>
                <w:rFonts w:ascii="Calibri" w:hAnsi="Calibri" w:cs="Calibri"/>
                <w:color w:val="000000"/>
                <w:sz w:val="20"/>
                <w:szCs w:val="20"/>
              </w:rPr>
              <w:t>период оборота дебиторской задолженности</w:t>
            </w:r>
            <w:r w:rsidRPr="0048190A">
              <w:rPr>
                <w:rFonts w:ascii="Calibri" w:hAnsi="Calibri" w:cs="Calibri"/>
                <w:color w:val="000000"/>
                <w:sz w:val="20"/>
                <w:szCs w:val="20"/>
              </w:rPr>
              <w:t>, дн</w:t>
            </w:r>
          </w:p>
        </w:tc>
        <w:tc>
          <w:tcPr>
            <w:tcW w:w="888" w:type="dxa"/>
            <w:tcBorders>
              <w:top w:val="nil"/>
              <w:left w:val="nil"/>
              <w:bottom w:val="single" w:sz="4" w:space="0" w:color="auto"/>
              <w:right w:val="single" w:sz="4" w:space="0" w:color="auto"/>
            </w:tcBorders>
            <w:shd w:val="clear" w:color="000000" w:fill="FFE5E5"/>
            <w:vAlign w:val="center"/>
          </w:tcPr>
          <w:p w:rsidR="00EB2DE4" w:rsidRPr="0048190A" w:rsidRDefault="00EB2DE4" w:rsidP="00C162FA">
            <w:pPr>
              <w:rPr>
                <w:rFonts w:ascii="Calibri" w:hAnsi="Calibri" w:cs="Calibri"/>
                <w:color w:val="000000"/>
                <w:sz w:val="20"/>
                <w:szCs w:val="20"/>
              </w:rPr>
            </w:pPr>
            <w:r w:rsidRPr="0048190A">
              <w:rPr>
                <w:rFonts w:ascii="Calibri" w:hAnsi="Calibri" w:cs="Calibri"/>
                <w:color w:val="000000"/>
                <w:sz w:val="20"/>
                <w:szCs w:val="20"/>
              </w:rPr>
              <w:t>более 180 дней</w:t>
            </w:r>
          </w:p>
        </w:tc>
        <w:tc>
          <w:tcPr>
            <w:tcW w:w="658" w:type="dxa"/>
            <w:tcBorders>
              <w:top w:val="nil"/>
              <w:left w:val="nil"/>
              <w:bottom w:val="single" w:sz="4" w:space="0" w:color="auto"/>
              <w:right w:val="single" w:sz="4" w:space="0" w:color="auto"/>
            </w:tcBorders>
            <w:shd w:val="clear" w:color="000000" w:fill="FFE5E5"/>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165</w:t>
            </w:r>
          </w:p>
        </w:tc>
        <w:tc>
          <w:tcPr>
            <w:tcW w:w="658" w:type="dxa"/>
            <w:tcBorders>
              <w:top w:val="nil"/>
              <w:left w:val="nil"/>
              <w:bottom w:val="single" w:sz="4" w:space="0" w:color="auto"/>
              <w:right w:val="single" w:sz="4" w:space="0" w:color="auto"/>
            </w:tcBorders>
            <w:shd w:val="clear" w:color="000000" w:fill="FFE5E5"/>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150</w:t>
            </w:r>
          </w:p>
        </w:tc>
        <w:tc>
          <w:tcPr>
            <w:tcW w:w="658" w:type="dxa"/>
            <w:tcBorders>
              <w:top w:val="nil"/>
              <w:left w:val="nil"/>
              <w:bottom w:val="single" w:sz="4" w:space="0" w:color="auto"/>
              <w:right w:val="single" w:sz="4" w:space="0" w:color="auto"/>
            </w:tcBorders>
            <w:shd w:val="clear" w:color="000000" w:fill="FFE5E5"/>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135</w:t>
            </w:r>
          </w:p>
        </w:tc>
        <w:tc>
          <w:tcPr>
            <w:tcW w:w="658" w:type="dxa"/>
            <w:tcBorders>
              <w:top w:val="nil"/>
              <w:left w:val="nil"/>
              <w:bottom w:val="single" w:sz="4" w:space="0" w:color="auto"/>
              <w:right w:val="single" w:sz="4" w:space="0" w:color="auto"/>
            </w:tcBorders>
            <w:shd w:val="clear" w:color="000000" w:fill="F8FFB9"/>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120</w:t>
            </w:r>
          </w:p>
        </w:tc>
        <w:tc>
          <w:tcPr>
            <w:tcW w:w="658" w:type="dxa"/>
            <w:tcBorders>
              <w:top w:val="nil"/>
              <w:left w:val="nil"/>
              <w:bottom w:val="single" w:sz="4" w:space="0" w:color="auto"/>
              <w:right w:val="single" w:sz="4" w:space="0" w:color="auto"/>
            </w:tcBorders>
            <w:shd w:val="clear" w:color="000000" w:fill="F8FFB9"/>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105</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90</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75</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60</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45</w:t>
            </w:r>
          </w:p>
        </w:tc>
        <w:tc>
          <w:tcPr>
            <w:tcW w:w="910" w:type="dxa"/>
            <w:tcBorders>
              <w:top w:val="nil"/>
              <w:left w:val="nil"/>
              <w:bottom w:val="single" w:sz="4" w:space="0" w:color="auto"/>
              <w:right w:val="single" w:sz="4" w:space="0" w:color="auto"/>
            </w:tcBorders>
            <w:shd w:val="clear" w:color="000000" w:fill="C6FED1"/>
            <w:vAlign w:val="center"/>
          </w:tcPr>
          <w:p w:rsidR="00EB2DE4" w:rsidRPr="0048190A" w:rsidRDefault="00EB2DE4" w:rsidP="00C162FA">
            <w:pPr>
              <w:rPr>
                <w:rFonts w:ascii="Calibri" w:hAnsi="Calibri" w:cs="Calibri"/>
                <w:color w:val="000000"/>
                <w:sz w:val="20"/>
                <w:szCs w:val="20"/>
              </w:rPr>
            </w:pPr>
            <w:r w:rsidRPr="0048190A">
              <w:rPr>
                <w:rFonts w:ascii="Calibri" w:hAnsi="Calibri" w:cs="Calibri"/>
                <w:color w:val="000000"/>
                <w:sz w:val="20"/>
                <w:szCs w:val="20"/>
              </w:rPr>
              <w:t>до 30 дней</w:t>
            </w:r>
          </w:p>
        </w:tc>
      </w:tr>
      <w:tr w:rsidR="00EB2DE4" w:rsidRPr="0048190A" w:rsidTr="00C162FA">
        <w:trPr>
          <w:trHeight w:val="627"/>
        </w:trPr>
        <w:tc>
          <w:tcPr>
            <w:tcW w:w="1940" w:type="dxa"/>
            <w:tcBorders>
              <w:top w:val="nil"/>
              <w:left w:val="single" w:sz="4" w:space="0" w:color="auto"/>
              <w:bottom w:val="single" w:sz="4" w:space="0" w:color="auto"/>
              <w:right w:val="single" w:sz="4" w:space="0" w:color="auto"/>
            </w:tcBorders>
            <w:shd w:val="clear" w:color="auto" w:fill="auto"/>
          </w:tcPr>
          <w:p w:rsidR="00EB2DE4" w:rsidRPr="0048190A" w:rsidRDefault="00EB2DE4" w:rsidP="00C162FA">
            <w:pPr>
              <w:rPr>
                <w:rFonts w:ascii="Calibri" w:hAnsi="Calibri" w:cs="Calibri"/>
                <w:color w:val="000000"/>
                <w:sz w:val="20"/>
                <w:szCs w:val="20"/>
              </w:rPr>
            </w:pPr>
            <w:r>
              <w:rPr>
                <w:rFonts w:ascii="Calibri" w:hAnsi="Calibri" w:cs="Calibri"/>
                <w:color w:val="000000"/>
                <w:sz w:val="20"/>
                <w:szCs w:val="20"/>
              </w:rPr>
              <w:t>период оборота кредиторской задолженности</w:t>
            </w:r>
            <w:r w:rsidRPr="0048190A">
              <w:rPr>
                <w:rFonts w:ascii="Calibri" w:hAnsi="Calibri" w:cs="Calibri"/>
                <w:color w:val="000000"/>
                <w:sz w:val="20"/>
                <w:szCs w:val="20"/>
              </w:rPr>
              <w:t>, дн</w:t>
            </w:r>
          </w:p>
        </w:tc>
        <w:tc>
          <w:tcPr>
            <w:tcW w:w="888" w:type="dxa"/>
            <w:tcBorders>
              <w:top w:val="nil"/>
              <w:left w:val="nil"/>
              <w:bottom w:val="single" w:sz="4" w:space="0" w:color="auto"/>
              <w:right w:val="single" w:sz="4" w:space="0" w:color="auto"/>
            </w:tcBorders>
            <w:shd w:val="clear" w:color="000000" w:fill="FFE5E5"/>
            <w:vAlign w:val="center"/>
          </w:tcPr>
          <w:p w:rsidR="00EB2DE4" w:rsidRPr="0048190A" w:rsidRDefault="00EB2DE4" w:rsidP="00C162FA">
            <w:pPr>
              <w:rPr>
                <w:rFonts w:ascii="Calibri" w:hAnsi="Calibri" w:cs="Calibri"/>
                <w:color w:val="000000"/>
                <w:sz w:val="20"/>
                <w:szCs w:val="20"/>
              </w:rPr>
            </w:pPr>
            <w:r w:rsidRPr="0048190A">
              <w:rPr>
                <w:rFonts w:ascii="Calibri" w:hAnsi="Calibri" w:cs="Calibri"/>
                <w:color w:val="000000"/>
                <w:sz w:val="20"/>
                <w:szCs w:val="20"/>
              </w:rPr>
              <w:t>более 180 дней</w:t>
            </w:r>
          </w:p>
        </w:tc>
        <w:tc>
          <w:tcPr>
            <w:tcW w:w="658" w:type="dxa"/>
            <w:tcBorders>
              <w:top w:val="nil"/>
              <w:left w:val="nil"/>
              <w:bottom w:val="single" w:sz="4" w:space="0" w:color="auto"/>
              <w:right w:val="single" w:sz="4" w:space="0" w:color="auto"/>
            </w:tcBorders>
            <w:shd w:val="clear" w:color="000000" w:fill="FFE5E5"/>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165</w:t>
            </w:r>
          </w:p>
        </w:tc>
        <w:tc>
          <w:tcPr>
            <w:tcW w:w="658" w:type="dxa"/>
            <w:tcBorders>
              <w:top w:val="nil"/>
              <w:left w:val="nil"/>
              <w:bottom w:val="single" w:sz="4" w:space="0" w:color="auto"/>
              <w:right w:val="single" w:sz="4" w:space="0" w:color="auto"/>
            </w:tcBorders>
            <w:shd w:val="clear" w:color="000000" w:fill="FFE5E5"/>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150</w:t>
            </w:r>
          </w:p>
        </w:tc>
        <w:tc>
          <w:tcPr>
            <w:tcW w:w="658" w:type="dxa"/>
            <w:tcBorders>
              <w:top w:val="nil"/>
              <w:left w:val="nil"/>
              <w:bottom w:val="single" w:sz="4" w:space="0" w:color="auto"/>
              <w:right w:val="single" w:sz="4" w:space="0" w:color="auto"/>
            </w:tcBorders>
            <w:shd w:val="clear" w:color="000000" w:fill="FFE5E5"/>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135</w:t>
            </w:r>
          </w:p>
        </w:tc>
        <w:tc>
          <w:tcPr>
            <w:tcW w:w="658" w:type="dxa"/>
            <w:tcBorders>
              <w:top w:val="nil"/>
              <w:left w:val="nil"/>
              <w:bottom w:val="single" w:sz="4" w:space="0" w:color="auto"/>
              <w:right w:val="single" w:sz="4" w:space="0" w:color="auto"/>
            </w:tcBorders>
            <w:shd w:val="clear" w:color="000000" w:fill="F8FFB9"/>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120</w:t>
            </w:r>
          </w:p>
        </w:tc>
        <w:tc>
          <w:tcPr>
            <w:tcW w:w="658" w:type="dxa"/>
            <w:tcBorders>
              <w:top w:val="nil"/>
              <w:left w:val="nil"/>
              <w:bottom w:val="single" w:sz="4" w:space="0" w:color="auto"/>
              <w:right w:val="single" w:sz="4" w:space="0" w:color="auto"/>
            </w:tcBorders>
            <w:shd w:val="clear" w:color="000000" w:fill="F8FFB9"/>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105</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90</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75</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60</w:t>
            </w:r>
          </w:p>
        </w:tc>
        <w:tc>
          <w:tcPr>
            <w:tcW w:w="658" w:type="dxa"/>
            <w:tcBorders>
              <w:top w:val="nil"/>
              <w:left w:val="nil"/>
              <w:bottom w:val="single" w:sz="4" w:space="0" w:color="auto"/>
              <w:right w:val="single" w:sz="4" w:space="0" w:color="auto"/>
            </w:tcBorders>
            <w:shd w:val="clear" w:color="000000" w:fill="C6FED1"/>
            <w:noWrap/>
            <w:vAlign w:val="center"/>
          </w:tcPr>
          <w:p w:rsidR="00EB2DE4" w:rsidRPr="0048190A" w:rsidRDefault="00EB2DE4" w:rsidP="00C162FA">
            <w:pPr>
              <w:jc w:val="right"/>
              <w:rPr>
                <w:rFonts w:ascii="Calibri" w:hAnsi="Calibri" w:cs="Calibri"/>
                <w:color w:val="000000"/>
                <w:sz w:val="20"/>
                <w:szCs w:val="20"/>
              </w:rPr>
            </w:pPr>
            <w:r w:rsidRPr="0048190A">
              <w:rPr>
                <w:rFonts w:ascii="Calibri" w:hAnsi="Calibri" w:cs="Calibri"/>
                <w:color w:val="000000"/>
                <w:sz w:val="20"/>
                <w:szCs w:val="20"/>
              </w:rPr>
              <w:t>45</w:t>
            </w:r>
          </w:p>
        </w:tc>
        <w:tc>
          <w:tcPr>
            <w:tcW w:w="910" w:type="dxa"/>
            <w:tcBorders>
              <w:top w:val="nil"/>
              <w:left w:val="nil"/>
              <w:bottom w:val="single" w:sz="4" w:space="0" w:color="auto"/>
              <w:right w:val="single" w:sz="4" w:space="0" w:color="auto"/>
            </w:tcBorders>
            <w:shd w:val="clear" w:color="000000" w:fill="C6FED1"/>
            <w:vAlign w:val="center"/>
          </w:tcPr>
          <w:p w:rsidR="00EB2DE4" w:rsidRPr="0048190A" w:rsidRDefault="00EB2DE4" w:rsidP="00C162FA">
            <w:pPr>
              <w:rPr>
                <w:rFonts w:ascii="Calibri" w:hAnsi="Calibri" w:cs="Calibri"/>
                <w:color w:val="000000"/>
                <w:sz w:val="20"/>
                <w:szCs w:val="20"/>
              </w:rPr>
            </w:pPr>
            <w:r w:rsidRPr="0048190A">
              <w:rPr>
                <w:rFonts w:ascii="Calibri" w:hAnsi="Calibri" w:cs="Calibri"/>
                <w:color w:val="000000"/>
                <w:sz w:val="20"/>
                <w:szCs w:val="20"/>
              </w:rPr>
              <w:t>до 30 дней</w:t>
            </w:r>
          </w:p>
        </w:tc>
      </w:tr>
    </w:tbl>
    <w:p w:rsidR="00EB2DE4" w:rsidRPr="00E1449F"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E1449F">
        <w:rPr>
          <w:rFonts w:ascii="Arial" w:hAnsi="Arial" w:cs="Arial"/>
        </w:rPr>
        <w:t>Коэффициенты, характеризующие ликвидность</w:t>
      </w:r>
      <w:r>
        <w:rPr>
          <w:rFonts w:ascii="Arial" w:hAnsi="Arial" w:cs="Arial"/>
        </w:rPr>
        <w:t>.</w:t>
      </w:r>
    </w:p>
    <w:p w:rsidR="00EB2DE4" w:rsidRPr="00E1449F" w:rsidRDefault="00EB2DE4" w:rsidP="00EB2DE4">
      <w:pPr>
        <w:numPr>
          <w:ilvl w:val="2"/>
          <w:numId w:val="5"/>
        </w:numPr>
        <w:tabs>
          <w:tab w:val="clear" w:pos="1584"/>
          <w:tab w:val="left" w:pos="0"/>
        </w:tabs>
        <w:spacing w:before="120" w:after="120"/>
        <w:ind w:left="0" w:firstLine="0"/>
        <w:jc w:val="both"/>
        <w:rPr>
          <w:rFonts w:ascii="Arial" w:hAnsi="Arial" w:cs="Arial"/>
        </w:rPr>
      </w:pPr>
      <w:r w:rsidRPr="00E1449F">
        <w:rPr>
          <w:rFonts w:ascii="Arial" w:hAnsi="Arial" w:cs="Arial"/>
        </w:rPr>
        <w:lastRenderedPageBreak/>
        <w:t>Абсолютная ликвидность</w:t>
      </w:r>
      <w:r>
        <w:rPr>
          <w:rFonts w:ascii="Arial" w:hAnsi="Arial" w:cs="Arial"/>
        </w:rPr>
        <w:t>.</w:t>
      </w:r>
    </w:p>
    <w:p w:rsidR="00EB2DE4" w:rsidRPr="00405A9F" w:rsidRDefault="00EB2DE4" w:rsidP="00EB2DE4">
      <w:pPr>
        <w:spacing w:before="120" w:after="120"/>
        <w:jc w:val="both"/>
        <w:rPr>
          <w:rFonts w:ascii="Arial" w:hAnsi="Arial" w:cs="Arial"/>
        </w:rPr>
      </w:pPr>
      <w:r w:rsidRPr="00405A9F">
        <w:rPr>
          <w:rFonts w:ascii="Arial" w:hAnsi="Arial" w:cs="Arial"/>
        </w:rPr>
        <w:t xml:space="preserve">Абсолютная ликвидность - отражает возможность </w:t>
      </w:r>
      <w:r>
        <w:rPr>
          <w:rFonts w:ascii="Arial" w:hAnsi="Arial" w:cs="Arial"/>
        </w:rPr>
        <w:t>компании</w:t>
      </w:r>
      <w:r w:rsidRPr="00405A9F">
        <w:rPr>
          <w:rFonts w:ascii="Arial" w:hAnsi="Arial" w:cs="Arial"/>
        </w:rPr>
        <w:t xml:space="preserve"> погасить свои краткосрочные обязательства практически мгновенно (мгновенная платежеспособность).</w:t>
      </w:r>
    </w:p>
    <w:p w:rsidR="00EB2DE4" w:rsidRPr="00405A9F" w:rsidRDefault="00EB2DE4" w:rsidP="00EB2DE4">
      <w:pPr>
        <w:spacing w:before="120" w:after="120"/>
        <w:ind w:left="1134"/>
        <w:jc w:val="both"/>
        <w:rPr>
          <w:rFonts w:ascii="Arial" w:hAnsi="Arial" w:cs="Arial"/>
          <w:b/>
          <w:i/>
        </w:rPr>
      </w:pPr>
      <w:r w:rsidRPr="00405A9F">
        <w:rPr>
          <w:rFonts w:ascii="Arial" w:hAnsi="Arial" w:cs="Arial"/>
        </w:rPr>
        <w:object w:dxaOrig="3540" w:dyaOrig="680">
          <v:shape id="_x0000_i1030" type="#_x0000_t75" style="width:177pt;height:34.2pt" o:ole="">
            <v:imagedata r:id="rId29" o:title=""/>
          </v:shape>
          <o:OLEObject Type="Embed" ProgID="Equation.3" ShapeID="_x0000_i1030" DrawAspect="Content" ObjectID="_1519812670" r:id="rId30"/>
        </w:object>
      </w:r>
    </w:p>
    <w:p w:rsidR="00EB2DE4" w:rsidRPr="00E1449F" w:rsidRDefault="00EB2DE4" w:rsidP="00EB2DE4">
      <w:pPr>
        <w:numPr>
          <w:ilvl w:val="2"/>
          <w:numId w:val="5"/>
        </w:numPr>
        <w:tabs>
          <w:tab w:val="clear" w:pos="1584"/>
          <w:tab w:val="left" w:pos="0"/>
        </w:tabs>
        <w:spacing w:before="120" w:after="120"/>
        <w:ind w:left="0" w:firstLine="0"/>
        <w:jc w:val="both"/>
        <w:rPr>
          <w:rFonts w:ascii="Arial" w:hAnsi="Arial" w:cs="Arial"/>
        </w:rPr>
      </w:pPr>
      <w:r w:rsidRPr="00E1449F">
        <w:rPr>
          <w:rFonts w:ascii="Arial" w:hAnsi="Arial" w:cs="Arial"/>
        </w:rPr>
        <w:t>Покрытие внеоборотных активов долгосрочными источниками финансирования</w:t>
      </w:r>
      <w:r>
        <w:rPr>
          <w:rFonts w:ascii="Arial" w:hAnsi="Arial" w:cs="Arial"/>
        </w:rPr>
        <w:t>.</w:t>
      </w:r>
    </w:p>
    <w:p w:rsidR="00EB2DE4" w:rsidRPr="00405A9F" w:rsidRDefault="00EB2DE4" w:rsidP="00EB2DE4">
      <w:pPr>
        <w:spacing w:before="120" w:after="120"/>
        <w:jc w:val="both"/>
        <w:rPr>
          <w:rFonts w:ascii="Arial" w:hAnsi="Arial" w:cs="Arial"/>
        </w:rPr>
      </w:pPr>
      <w:r w:rsidRPr="00405A9F">
        <w:rPr>
          <w:rFonts w:ascii="Arial" w:hAnsi="Arial" w:cs="Arial"/>
        </w:rPr>
        <w:t xml:space="preserve">Коэффициент покрытия внеоборотных активов собственным капиталом  и долгосрочными обязательствами – отражает, в какой степени внеоборотные активы </w:t>
      </w:r>
      <w:r>
        <w:rPr>
          <w:rFonts w:ascii="Arial" w:hAnsi="Arial" w:cs="Arial"/>
        </w:rPr>
        <w:t>компании</w:t>
      </w:r>
      <w:r w:rsidRPr="00405A9F">
        <w:rPr>
          <w:rFonts w:ascii="Arial" w:hAnsi="Arial" w:cs="Arial"/>
        </w:rPr>
        <w:t xml:space="preserve"> финансируются долгосрочным капиталом </w:t>
      </w:r>
      <w:r>
        <w:rPr>
          <w:rFonts w:ascii="Arial" w:hAnsi="Arial" w:cs="Arial"/>
        </w:rPr>
        <w:t>(заемным и собственным</w:t>
      </w:r>
      <w:r w:rsidRPr="00405A9F">
        <w:rPr>
          <w:rFonts w:ascii="Arial" w:hAnsi="Arial" w:cs="Arial"/>
        </w:rPr>
        <w:t>). Коэффициент оценивает ликвидность баланса компании</w:t>
      </w:r>
      <w:r>
        <w:rPr>
          <w:rFonts w:ascii="Arial" w:hAnsi="Arial" w:cs="Arial"/>
        </w:rPr>
        <w:t>:</w:t>
      </w:r>
    </w:p>
    <w:p w:rsidR="00EB2DE4" w:rsidRDefault="00EB2DE4" w:rsidP="00EB2DE4">
      <w:pPr>
        <w:spacing w:before="120" w:after="120"/>
        <w:ind w:left="1134"/>
        <w:jc w:val="both"/>
        <w:rPr>
          <w:rFonts w:ascii="Arial" w:hAnsi="Arial" w:cs="Arial"/>
        </w:rPr>
      </w:pPr>
      <w:r w:rsidRPr="00F04272">
        <w:rPr>
          <w:rFonts w:ascii="Arial" w:hAnsi="Arial" w:cs="Arial"/>
          <w:position w:val="-30"/>
        </w:rPr>
        <w:object w:dxaOrig="5940" w:dyaOrig="680">
          <v:shape id="_x0000_i1031" type="#_x0000_t75" style="width:297pt;height:34.2pt" o:ole="">
            <v:imagedata r:id="rId31" o:title=""/>
          </v:shape>
          <o:OLEObject Type="Embed" ProgID="Equation.3" ShapeID="_x0000_i1031" DrawAspect="Content" ObjectID="_1519812671" r:id="rId32"/>
        </w:object>
      </w:r>
    </w:p>
    <w:p w:rsidR="00EB2DE4" w:rsidRDefault="00EB2DE4" w:rsidP="00EB2DE4">
      <w:pPr>
        <w:jc w:val="right"/>
        <w:rPr>
          <w:rFonts w:ascii="Arial" w:hAnsi="Arial" w:cs="Arial"/>
        </w:rPr>
      </w:pPr>
      <w:r w:rsidRPr="006B3617">
        <w:rPr>
          <w:rFonts w:ascii="Arial" w:hAnsi="Arial" w:cs="Arial"/>
        </w:rPr>
        <w:t>Таблица</w:t>
      </w:r>
      <w:r>
        <w:rPr>
          <w:rFonts w:ascii="Arial" w:hAnsi="Arial" w:cs="Arial"/>
        </w:rPr>
        <w:t xml:space="preserve"> 3.</w:t>
      </w:r>
      <w:r w:rsidRPr="006B3617">
        <w:rPr>
          <w:rFonts w:ascii="Arial" w:hAnsi="Arial" w:cs="Arial"/>
        </w:rPr>
        <w:t xml:space="preserve"> </w:t>
      </w:r>
      <w:r>
        <w:rPr>
          <w:rFonts w:ascii="Arial" w:hAnsi="Arial" w:cs="Arial"/>
        </w:rPr>
        <w:t>Перевод значений финансовых показателей в баллы по шкале от 0 до 1.</w:t>
      </w:r>
    </w:p>
    <w:p w:rsidR="00EB2DE4" w:rsidRPr="00405A9F" w:rsidRDefault="00EB2DE4" w:rsidP="00EB2DE4">
      <w:pPr>
        <w:jc w:val="right"/>
        <w:rPr>
          <w:rFonts w:ascii="Arial" w:hAnsi="Arial" w:cs="Arial"/>
        </w:rPr>
      </w:pPr>
    </w:p>
    <w:tbl>
      <w:tblPr>
        <w:tblW w:w="9660" w:type="dxa"/>
        <w:tblInd w:w="93" w:type="dxa"/>
        <w:tblLayout w:type="fixed"/>
        <w:tblLook w:val="04A0" w:firstRow="1" w:lastRow="0" w:firstColumn="1" w:lastColumn="0" w:noHBand="0" w:noVBand="1"/>
      </w:tblPr>
      <w:tblGrid>
        <w:gridCol w:w="1989"/>
        <w:gridCol w:w="782"/>
        <w:gridCol w:w="657"/>
        <w:gridCol w:w="657"/>
        <w:gridCol w:w="657"/>
        <w:gridCol w:w="657"/>
        <w:gridCol w:w="657"/>
        <w:gridCol w:w="657"/>
        <w:gridCol w:w="657"/>
        <w:gridCol w:w="694"/>
        <w:gridCol w:w="714"/>
        <w:gridCol w:w="882"/>
      </w:tblGrid>
      <w:tr w:rsidR="00EB2DE4" w:rsidTr="00C162FA">
        <w:trPr>
          <w:trHeight w:val="309"/>
        </w:trPr>
        <w:tc>
          <w:tcPr>
            <w:tcW w:w="1989"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EB2DE4" w:rsidRDefault="00EB2DE4" w:rsidP="00C162FA">
            <w:pPr>
              <w:rPr>
                <w:rFonts w:ascii="Calibri" w:hAnsi="Calibri" w:cs="Calibri"/>
                <w:color w:val="000000"/>
                <w:sz w:val="22"/>
                <w:szCs w:val="22"/>
              </w:rPr>
            </w:pPr>
            <w:r>
              <w:rPr>
                <w:rFonts w:ascii="Calibri" w:hAnsi="Calibri" w:cs="Calibri"/>
                <w:color w:val="000000"/>
                <w:sz w:val="22"/>
                <w:szCs w:val="22"/>
              </w:rPr>
              <w:t>Оценка</w:t>
            </w:r>
          </w:p>
          <w:p w:rsidR="00EB2DE4" w:rsidRDefault="00EB2DE4" w:rsidP="00C162FA">
            <w:pPr>
              <w:rPr>
                <w:rFonts w:ascii="Calibri" w:hAnsi="Calibri" w:cs="Calibri"/>
                <w:color w:val="000000"/>
                <w:sz w:val="22"/>
                <w:szCs w:val="22"/>
              </w:rPr>
            </w:pPr>
            <w:r>
              <w:rPr>
                <w:rFonts w:ascii="Calibri" w:hAnsi="Calibri" w:cs="Calibri"/>
                <w:color w:val="000000"/>
                <w:sz w:val="22"/>
                <w:szCs w:val="22"/>
              </w:rPr>
              <w:t>(мин 0 - макс 1)</w:t>
            </w:r>
          </w:p>
        </w:tc>
        <w:tc>
          <w:tcPr>
            <w:tcW w:w="782"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0,0</w:t>
            </w:r>
          </w:p>
        </w:tc>
        <w:tc>
          <w:tcPr>
            <w:tcW w:w="65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0,1</w:t>
            </w:r>
          </w:p>
        </w:tc>
        <w:tc>
          <w:tcPr>
            <w:tcW w:w="65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0,2</w:t>
            </w:r>
          </w:p>
        </w:tc>
        <w:tc>
          <w:tcPr>
            <w:tcW w:w="65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0,3</w:t>
            </w:r>
          </w:p>
        </w:tc>
        <w:tc>
          <w:tcPr>
            <w:tcW w:w="65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0,4</w:t>
            </w:r>
          </w:p>
        </w:tc>
        <w:tc>
          <w:tcPr>
            <w:tcW w:w="65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0,5</w:t>
            </w:r>
          </w:p>
        </w:tc>
        <w:tc>
          <w:tcPr>
            <w:tcW w:w="65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0,6</w:t>
            </w:r>
          </w:p>
        </w:tc>
        <w:tc>
          <w:tcPr>
            <w:tcW w:w="657"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0,7</w:t>
            </w:r>
          </w:p>
        </w:tc>
        <w:tc>
          <w:tcPr>
            <w:tcW w:w="694"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0,8</w:t>
            </w:r>
          </w:p>
        </w:tc>
        <w:tc>
          <w:tcPr>
            <w:tcW w:w="714"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0,9</w:t>
            </w:r>
          </w:p>
        </w:tc>
        <w:tc>
          <w:tcPr>
            <w:tcW w:w="882"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1,0</w:t>
            </w:r>
          </w:p>
        </w:tc>
      </w:tr>
      <w:tr w:rsidR="00EB2DE4" w:rsidTr="00C162FA">
        <w:trPr>
          <w:trHeight w:val="619"/>
        </w:trPr>
        <w:tc>
          <w:tcPr>
            <w:tcW w:w="1989" w:type="dxa"/>
            <w:tcBorders>
              <w:top w:val="nil"/>
              <w:left w:val="single" w:sz="4" w:space="0" w:color="auto"/>
              <w:bottom w:val="single" w:sz="4" w:space="0" w:color="auto"/>
              <w:right w:val="single" w:sz="4" w:space="0" w:color="auto"/>
            </w:tcBorders>
            <w:shd w:val="clear" w:color="auto" w:fill="auto"/>
            <w:vAlign w:val="center"/>
          </w:tcPr>
          <w:p w:rsidR="00EB2DE4" w:rsidRPr="00997DB9" w:rsidRDefault="00EB2DE4" w:rsidP="00C162FA">
            <w:pPr>
              <w:rPr>
                <w:rFonts w:ascii="Calibri" w:hAnsi="Calibri" w:cs="Calibri"/>
                <w:color w:val="000000"/>
                <w:sz w:val="20"/>
                <w:szCs w:val="20"/>
              </w:rPr>
            </w:pPr>
            <w:r w:rsidRPr="00997DB9">
              <w:rPr>
                <w:rFonts w:ascii="Calibri" w:hAnsi="Calibri" w:cs="Calibri"/>
                <w:color w:val="000000"/>
                <w:sz w:val="20"/>
                <w:szCs w:val="20"/>
              </w:rPr>
              <w:t xml:space="preserve">Абсолютная ликвидность </w:t>
            </w:r>
          </w:p>
        </w:tc>
        <w:tc>
          <w:tcPr>
            <w:tcW w:w="782" w:type="dxa"/>
            <w:tcBorders>
              <w:top w:val="nil"/>
              <w:left w:val="nil"/>
              <w:bottom w:val="single" w:sz="4" w:space="0" w:color="auto"/>
              <w:right w:val="single" w:sz="4" w:space="0" w:color="auto"/>
            </w:tcBorders>
            <w:shd w:val="clear" w:color="000000" w:fill="FFE5E5"/>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менее 0,02</w:t>
            </w:r>
          </w:p>
        </w:tc>
        <w:tc>
          <w:tcPr>
            <w:tcW w:w="657" w:type="dxa"/>
            <w:tcBorders>
              <w:top w:val="nil"/>
              <w:left w:val="nil"/>
              <w:bottom w:val="single" w:sz="4" w:space="0" w:color="auto"/>
              <w:right w:val="single" w:sz="4" w:space="0" w:color="auto"/>
            </w:tcBorders>
            <w:shd w:val="clear" w:color="000000" w:fill="FFE5E5"/>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0,03</w:t>
            </w:r>
          </w:p>
        </w:tc>
        <w:tc>
          <w:tcPr>
            <w:tcW w:w="657" w:type="dxa"/>
            <w:tcBorders>
              <w:top w:val="nil"/>
              <w:left w:val="nil"/>
              <w:bottom w:val="single" w:sz="4" w:space="0" w:color="auto"/>
              <w:right w:val="single" w:sz="4" w:space="0" w:color="auto"/>
            </w:tcBorders>
            <w:shd w:val="clear" w:color="000000" w:fill="FFE5E5"/>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0,04</w:t>
            </w:r>
          </w:p>
        </w:tc>
        <w:tc>
          <w:tcPr>
            <w:tcW w:w="657" w:type="dxa"/>
            <w:tcBorders>
              <w:top w:val="nil"/>
              <w:left w:val="nil"/>
              <w:bottom w:val="single" w:sz="4" w:space="0" w:color="auto"/>
              <w:right w:val="single" w:sz="4" w:space="0" w:color="auto"/>
            </w:tcBorders>
            <w:shd w:val="clear" w:color="000000" w:fill="FFE5E5"/>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0,05</w:t>
            </w:r>
          </w:p>
        </w:tc>
        <w:tc>
          <w:tcPr>
            <w:tcW w:w="657" w:type="dxa"/>
            <w:tcBorders>
              <w:top w:val="nil"/>
              <w:left w:val="nil"/>
              <w:bottom w:val="single" w:sz="4" w:space="0" w:color="auto"/>
              <w:right w:val="single" w:sz="4" w:space="0" w:color="auto"/>
            </w:tcBorders>
            <w:shd w:val="clear" w:color="000000" w:fill="F8FFB9"/>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0,06</w:t>
            </w:r>
          </w:p>
        </w:tc>
        <w:tc>
          <w:tcPr>
            <w:tcW w:w="657" w:type="dxa"/>
            <w:tcBorders>
              <w:top w:val="nil"/>
              <w:left w:val="nil"/>
              <w:bottom w:val="single" w:sz="4" w:space="0" w:color="auto"/>
              <w:right w:val="single" w:sz="4" w:space="0" w:color="auto"/>
            </w:tcBorders>
            <w:shd w:val="clear" w:color="000000" w:fill="F8FFB9"/>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0,07</w:t>
            </w:r>
          </w:p>
        </w:tc>
        <w:tc>
          <w:tcPr>
            <w:tcW w:w="657"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0,09</w:t>
            </w:r>
          </w:p>
        </w:tc>
        <w:tc>
          <w:tcPr>
            <w:tcW w:w="657"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0,1</w:t>
            </w:r>
          </w:p>
        </w:tc>
        <w:tc>
          <w:tcPr>
            <w:tcW w:w="694"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0,13</w:t>
            </w:r>
          </w:p>
        </w:tc>
        <w:tc>
          <w:tcPr>
            <w:tcW w:w="714"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0,17</w:t>
            </w:r>
          </w:p>
        </w:tc>
        <w:tc>
          <w:tcPr>
            <w:tcW w:w="882" w:type="dxa"/>
            <w:tcBorders>
              <w:top w:val="nil"/>
              <w:left w:val="nil"/>
              <w:bottom w:val="single" w:sz="4" w:space="0" w:color="auto"/>
              <w:right w:val="single" w:sz="4" w:space="0" w:color="auto"/>
            </w:tcBorders>
            <w:shd w:val="clear" w:color="000000" w:fill="C6FED1"/>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более 0,2</w:t>
            </w:r>
          </w:p>
        </w:tc>
      </w:tr>
      <w:tr w:rsidR="00EB2DE4" w:rsidTr="00C162FA">
        <w:trPr>
          <w:trHeight w:val="1547"/>
        </w:trPr>
        <w:tc>
          <w:tcPr>
            <w:tcW w:w="1989" w:type="dxa"/>
            <w:tcBorders>
              <w:top w:val="nil"/>
              <w:left w:val="single" w:sz="4" w:space="0" w:color="auto"/>
              <w:bottom w:val="single" w:sz="4" w:space="0" w:color="auto"/>
              <w:right w:val="single" w:sz="4" w:space="0" w:color="auto"/>
            </w:tcBorders>
            <w:shd w:val="clear" w:color="auto" w:fill="auto"/>
            <w:vAlign w:val="center"/>
          </w:tcPr>
          <w:p w:rsidR="00EB2DE4" w:rsidRPr="00997DB9" w:rsidRDefault="00EB2DE4" w:rsidP="00C162FA">
            <w:pPr>
              <w:rPr>
                <w:rFonts w:ascii="Calibri" w:hAnsi="Calibri" w:cs="Calibri"/>
                <w:color w:val="000000"/>
                <w:sz w:val="20"/>
                <w:szCs w:val="20"/>
              </w:rPr>
            </w:pPr>
            <w:r w:rsidRPr="00997DB9">
              <w:rPr>
                <w:rFonts w:ascii="Calibri" w:hAnsi="Calibri" w:cs="Calibri"/>
                <w:color w:val="000000"/>
                <w:sz w:val="20"/>
                <w:szCs w:val="20"/>
              </w:rPr>
              <w:t>Покрытие внеоборотных активов долгосрочными источниками финансирования</w:t>
            </w:r>
          </w:p>
        </w:tc>
        <w:tc>
          <w:tcPr>
            <w:tcW w:w="782" w:type="dxa"/>
            <w:tcBorders>
              <w:top w:val="nil"/>
              <w:left w:val="nil"/>
              <w:bottom w:val="single" w:sz="4" w:space="0" w:color="auto"/>
              <w:right w:val="single" w:sz="4" w:space="0" w:color="auto"/>
            </w:tcBorders>
            <w:shd w:val="clear" w:color="000000" w:fill="FFE5E5"/>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более 1,8</w:t>
            </w:r>
          </w:p>
        </w:tc>
        <w:tc>
          <w:tcPr>
            <w:tcW w:w="657" w:type="dxa"/>
            <w:tcBorders>
              <w:top w:val="nil"/>
              <w:left w:val="nil"/>
              <w:bottom w:val="single" w:sz="4" w:space="0" w:color="auto"/>
              <w:right w:val="single" w:sz="4" w:space="0" w:color="auto"/>
            </w:tcBorders>
            <w:shd w:val="clear" w:color="000000" w:fill="FFE5E5"/>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1,7</w:t>
            </w:r>
          </w:p>
        </w:tc>
        <w:tc>
          <w:tcPr>
            <w:tcW w:w="657" w:type="dxa"/>
            <w:tcBorders>
              <w:top w:val="nil"/>
              <w:left w:val="nil"/>
              <w:bottom w:val="single" w:sz="4" w:space="0" w:color="auto"/>
              <w:right w:val="single" w:sz="4" w:space="0" w:color="auto"/>
            </w:tcBorders>
            <w:shd w:val="clear" w:color="000000" w:fill="FFE5E5"/>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1,6</w:t>
            </w:r>
          </w:p>
        </w:tc>
        <w:tc>
          <w:tcPr>
            <w:tcW w:w="657" w:type="dxa"/>
            <w:tcBorders>
              <w:top w:val="nil"/>
              <w:left w:val="nil"/>
              <w:bottom w:val="single" w:sz="4" w:space="0" w:color="auto"/>
              <w:right w:val="single" w:sz="4" w:space="0" w:color="auto"/>
            </w:tcBorders>
            <w:shd w:val="clear" w:color="000000" w:fill="FFE5E5"/>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1,5</w:t>
            </w:r>
          </w:p>
        </w:tc>
        <w:tc>
          <w:tcPr>
            <w:tcW w:w="657" w:type="dxa"/>
            <w:tcBorders>
              <w:top w:val="nil"/>
              <w:left w:val="nil"/>
              <w:bottom w:val="single" w:sz="4" w:space="0" w:color="auto"/>
              <w:right w:val="single" w:sz="4" w:space="0" w:color="auto"/>
            </w:tcBorders>
            <w:shd w:val="clear" w:color="000000" w:fill="F8FFB9"/>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1,4</w:t>
            </w:r>
          </w:p>
        </w:tc>
        <w:tc>
          <w:tcPr>
            <w:tcW w:w="657" w:type="dxa"/>
            <w:tcBorders>
              <w:top w:val="nil"/>
              <w:left w:val="nil"/>
              <w:bottom w:val="single" w:sz="4" w:space="0" w:color="auto"/>
              <w:right w:val="single" w:sz="4" w:space="0" w:color="auto"/>
            </w:tcBorders>
            <w:shd w:val="clear" w:color="000000" w:fill="F8FFB9"/>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1,3</w:t>
            </w:r>
          </w:p>
        </w:tc>
        <w:tc>
          <w:tcPr>
            <w:tcW w:w="657"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1,2</w:t>
            </w:r>
          </w:p>
        </w:tc>
        <w:tc>
          <w:tcPr>
            <w:tcW w:w="657"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1,1</w:t>
            </w:r>
          </w:p>
        </w:tc>
        <w:tc>
          <w:tcPr>
            <w:tcW w:w="694"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1</w:t>
            </w:r>
          </w:p>
        </w:tc>
        <w:tc>
          <w:tcPr>
            <w:tcW w:w="714"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0,9</w:t>
            </w:r>
          </w:p>
        </w:tc>
        <w:tc>
          <w:tcPr>
            <w:tcW w:w="882" w:type="dxa"/>
            <w:tcBorders>
              <w:top w:val="nil"/>
              <w:left w:val="nil"/>
              <w:bottom w:val="single" w:sz="4" w:space="0" w:color="auto"/>
              <w:right w:val="single" w:sz="4" w:space="0" w:color="auto"/>
            </w:tcBorders>
            <w:shd w:val="clear" w:color="000000" w:fill="C6FED1"/>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менее 0,8</w:t>
            </w:r>
          </w:p>
        </w:tc>
      </w:tr>
    </w:tbl>
    <w:p w:rsidR="00EB2DE4" w:rsidRPr="00A624C8" w:rsidRDefault="00EB2DE4" w:rsidP="00EB2DE4">
      <w:pPr>
        <w:pStyle w:val="1"/>
        <w:numPr>
          <w:ilvl w:val="0"/>
          <w:numId w:val="5"/>
        </w:numPr>
        <w:tabs>
          <w:tab w:val="left" w:pos="540"/>
        </w:tabs>
        <w:spacing w:after="240"/>
        <w:ind w:left="539" w:hanging="539"/>
        <w:rPr>
          <w:sz w:val="24"/>
          <w:szCs w:val="24"/>
        </w:rPr>
      </w:pPr>
      <w:bookmarkStart w:id="61" w:name="_Toc370229409"/>
      <w:bookmarkStart w:id="62" w:name="_Toc322961181"/>
      <w:bookmarkStart w:id="63" w:name="_Toc326066016"/>
      <w:bookmarkStart w:id="64" w:name="_Toc326066286"/>
      <w:bookmarkStart w:id="65" w:name="_Toc326067317"/>
      <w:bookmarkStart w:id="66" w:name="_Toc370295575"/>
      <w:bookmarkEnd w:id="61"/>
      <w:r w:rsidRPr="00405A9F">
        <w:rPr>
          <w:sz w:val="24"/>
          <w:szCs w:val="24"/>
        </w:rPr>
        <w:t>Г</w:t>
      </w:r>
      <w:r>
        <w:rPr>
          <w:sz w:val="24"/>
          <w:szCs w:val="24"/>
        </w:rPr>
        <w:t>руппа показателей бизнес-риска</w:t>
      </w:r>
      <w:bookmarkEnd w:id="63"/>
      <w:bookmarkEnd w:id="64"/>
      <w:bookmarkEnd w:id="65"/>
      <w:bookmarkEnd w:id="66"/>
      <w:r>
        <w:rPr>
          <w:sz w:val="24"/>
          <w:szCs w:val="24"/>
        </w:rPr>
        <w:t xml:space="preserve"> </w:t>
      </w:r>
      <w:bookmarkEnd w:id="62"/>
    </w:p>
    <w:p w:rsidR="00EB2DE4" w:rsidRPr="00E1449F"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E1449F">
        <w:rPr>
          <w:rFonts w:ascii="Arial" w:hAnsi="Arial" w:cs="Arial"/>
        </w:rPr>
        <w:t>Соответствие масштабов деятельности участника закупочной процедуры сумме закупки (в сравнении с активами, с выручкой)</w:t>
      </w:r>
      <w:r>
        <w:rPr>
          <w:rFonts w:ascii="Arial" w:hAnsi="Arial" w:cs="Arial"/>
        </w:rPr>
        <w:t>.</w:t>
      </w:r>
    </w:p>
    <w:p w:rsidR="00EB2DE4" w:rsidRDefault="00EB2DE4" w:rsidP="00EB2DE4">
      <w:pPr>
        <w:spacing w:before="120" w:after="120"/>
        <w:jc w:val="both"/>
        <w:rPr>
          <w:rFonts w:ascii="Arial" w:hAnsi="Arial" w:cs="Arial"/>
        </w:rPr>
      </w:pPr>
      <w:r>
        <w:rPr>
          <w:rFonts w:ascii="Arial" w:hAnsi="Arial" w:cs="Arial"/>
        </w:rPr>
        <w:t>Настоящей м</w:t>
      </w:r>
      <w:r w:rsidRPr="00DE0CBD">
        <w:rPr>
          <w:rFonts w:ascii="Arial" w:hAnsi="Arial" w:cs="Arial"/>
        </w:rPr>
        <w:t>етодикой предусмотрен принцип оценки, согласно которому понятие финансовой устойчивости включает в себя планомерное стабильное развитие оцениваемых компаний, исключающ</w:t>
      </w:r>
      <w:r>
        <w:rPr>
          <w:rFonts w:ascii="Arial" w:hAnsi="Arial" w:cs="Arial"/>
        </w:rPr>
        <w:t>ее</w:t>
      </w:r>
      <w:r w:rsidRPr="00DE0CBD">
        <w:rPr>
          <w:rFonts w:ascii="Arial" w:hAnsi="Arial" w:cs="Arial"/>
        </w:rPr>
        <w:t xml:space="preserve">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компании, имеющие исключительно хорошие финансовые показатели на момент оценки, должен выполняться принцип соответствия текущих масштабов деятельности и планируемой суммы закупки.</w:t>
      </w:r>
    </w:p>
    <w:p w:rsidR="00EB2DE4" w:rsidRDefault="00EB2DE4" w:rsidP="00EB2DE4">
      <w:pPr>
        <w:spacing w:before="120" w:after="120"/>
        <w:jc w:val="both"/>
        <w:rPr>
          <w:rFonts w:ascii="Arial" w:hAnsi="Arial" w:cs="Arial"/>
        </w:rPr>
      </w:pPr>
    </w:p>
    <w:p w:rsidR="00EB2DE4" w:rsidRDefault="00EB2DE4" w:rsidP="00EB2DE4">
      <w:pPr>
        <w:spacing w:before="120" w:after="120"/>
        <w:jc w:val="both"/>
        <w:rPr>
          <w:rFonts w:ascii="Arial" w:hAnsi="Arial" w:cs="Arial"/>
        </w:rPr>
      </w:pPr>
    </w:p>
    <w:p w:rsidR="00EB2DE4" w:rsidRPr="00DE0CBD" w:rsidRDefault="00EB2DE4" w:rsidP="00EB2DE4">
      <w:pPr>
        <w:spacing w:before="120" w:after="120"/>
        <w:jc w:val="both"/>
        <w:rPr>
          <w:rFonts w:ascii="Arial" w:hAnsi="Arial" w:cs="Arial"/>
        </w:rPr>
      </w:pPr>
    </w:p>
    <w:p w:rsidR="00EB2DE4" w:rsidRPr="00DE0CBD" w:rsidRDefault="00EB2DE4" w:rsidP="00EB2DE4">
      <w:pPr>
        <w:spacing w:before="240" w:after="120"/>
        <w:ind w:left="425"/>
        <w:jc w:val="right"/>
        <w:rPr>
          <w:rFonts w:ascii="Arial" w:hAnsi="Arial" w:cs="Arial"/>
        </w:rPr>
      </w:pPr>
      <w:r w:rsidRPr="006B3617">
        <w:rPr>
          <w:rFonts w:ascii="Arial" w:hAnsi="Arial" w:cs="Arial"/>
        </w:rPr>
        <w:t>Таблица</w:t>
      </w:r>
      <w:r>
        <w:rPr>
          <w:rFonts w:ascii="Arial" w:hAnsi="Arial" w:cs="Arial"/>
        </w:rPr>
        <w:t xml:space="preserve"> 4.</w:t>
      </w:r>
      <w:r w:rsidRPr="006B3617">
        <w:rPr>
          <w:rFonts w:ascii="Arial" w:hAnsi="Arial" w:cs="Arial"/>
        </w:rPr>
        <w:t xml:space="preserve"> </w:t>
      </w:r>
      <w:r>
        <w:rPr>
          <w:rFonts w:ascii="Arial" w:hAnsi="Arial" w:cs="Arial"/>
        </w:rPr>
        <w:t>Перевод значений показателей в баллы по шкале от 0 до 1.</w:t>
      </w:r>
    </w:p>
    <w:tbl>
      <w:tblPr>
        <w:tblW w:w="9653" w:type="dxa"/>
        <w:tblInd w:w="93" w:type="dxa"/>
        <w:tblLayout w:type="fixed"/>
        <w:tblLook w:val="04A0" w:firstRow="1" w:lastRow="0" w:firstColumn="1" w:lastColumn="0" w:noHBand="0" w:noVBand="1"/>
      </w:tblPr>
      <w:tblGrid>
        <w:gridCol w:w="1943"/>
        <w:gridCol w:w="890"/>
        <w:gridCol w:w="659"/>
        <w:gridCol w:w="659"/>
        <w:gridCol w:w="659"/>
        <w:gridCol w:w="659"/>
        <w:gridCol w:w="659"/>
        <w:gridCol w:w="659"/>
        <w:gridCol w:w="659"/>
        <w:gridCol w:w="659"/>
        <w:gridCol w:w="659"/>
        <w:gridCol w:w="889"/>
      </w:tblGrid>
      <w:tr w:rsidR="00EB2DE4" w:rsidTr="00C162FA">
        <w:trPr>
          <w:trHeight w:val="310"/>
        </w:trPr>
        <w:tc>
          <w:tcPr>
            <w:tcW w:w="1943"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EB2DE4" w:rsidRDefault="00EB2DE4" w:rsidP="00C162FA">
            <w:pPr>
              <w:rPr>
                <w:rFonts w:ascii="Calibri" w:hAnsi="Calibri" w:cs="Calibri"/>
                <w:color w:val="000000"/>
                <w:sz w:val="22"/>
                <w:szCs w:val="22"/>
              </w:rPr>
            </w:pPr>
            <w:r>
              <w:rPr>
                <w:rFonts w:ascii="Calibri" w:hAnsi="Calibri" w:cs="Calibri"/>
                <w:color w:val="000000"/>
                <w:sz w:val="22"/>
                <w:szCs w:val="22"/>
              </w:rPr>
              <w:t>Оценка</w:t>
            </w:r>
          </w:p>
          <w:p w:rsidR="00EB2DE4" w:rsidRDefault="00EB2DE4" w:rsidP="00C162FA">
            <w:pPr>
              <w:rPr>
                <w:rFonts w:ascii="Calibri" w:hAnsi="Calibri" w:cs="Calibri"/>
                <w:color w:val="000000"/>
                <w:sz w:val="22"/>
                <w:szCs w:val="22"/>
              </w:rPr>
            </w:pPr>
            <w:r>
              <w:rPr>
                <w:rFonts w:ascii="Calibri" w:hAnsi="Calibri" w:cs="Calibri"/>
                <w:color w:val="000000"/>
                <w:sz w:val="22"/>
                <w:szCs w:val="22"/>
              </w:rPr>
              <w:t>(мин 0 - макс 1)</w:t>
            </w:r>
          </w:p>
        </w:tc>
        <w:tc>
          <w:tcPr>
            <w:tcW w:w="890"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0,0</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0,1</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0,2</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0,3</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0,4</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0,5</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0,6</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0,7</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0,8</w:t>
            </w:r>
          </w:p>
        </w:tc>
        <w:tc>
          <w:tcPr>
            <w:tcW w:w="65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0,9</w:t>
            </w:r>
          </w:p>
        </w:tc>
        <w:tc>
          <w:tcPr>
            <w:tcW w:w="889" w:type="dxa"/>
            <w:tcBorders>
              <w:top w:val="single" w:sz="4" w:space="0" w:color="auto"/>
              <w:left w:val="nil"/>
              <w:bottom w:val="single" w:sz="4" w:space="0" w:color="auto"/>
              <w:right w:val="single" w:sz="4" w:space="0" w:color="auto"/>
            </w:tcBorders>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1,0</w:t>
            </w:r>
          </w:p>
        </w:tc>
      </w:tr>
      <w:tr w:rsidR="00EB2DE4" w:rsidRPr="00997DB9" w:rsidTr="00C162FA">
        <w:trPr>
          <w:trHeight w:val="823"/>
        </w:trPr>
        <w:tc>
          <w:tcPr>
            <w:tcW w:w="1943" w:type="dxa"/>
            <w:tcBorders>
              <w:top w:val="nil"/>
              <w:left w:val="single" w:sz="4" w:space="0" w:color="auto"/>
              <w:bottom w:val="single" w:sz="4" w:space="0" w:color="auto"/>
              <w:right w:val="single" w:sz="4" w:space="0" w:color="auto"/>
            </w:tcBorders>
            <w:shd w:val="clear" w:color="auto" w:fill="auto"/>
            <w:vAlign w:val="center"/>
          </w:tcPr>
          <w:p w:rsidR="00EB2DE4" w:rsidRPr="00997DB9" w:rsidRDefault="00EB2DE4" w:rsidP="00C162FA">
            <w:pPr>
              <w:rPr>
                <w:rFonts w:ascii="Calibri" w:hAnsi="Calibri" w:cs="Calibri"/>
                <w:color w:val="000000"/>
                <w:sz w:val="20"/>
                <w:szCs w:val="20"/>
              </w:rPr>
            </w:pPr>
            <w:r>
              <w:rPr>
                <w:rFonts w:ascii="Calibri" w:hAnsi="Calibri" w:cs="Calibri"/>
                <w:color w:val="000000"/>
                <w:sz w:val="20"/>
                <w:szCs w:val="20"/>
              </w:rPr>
              <w:t>Сумма закупки / Годовая в</w:t>
            </w:r>
            <w:r w:rsidRPr="00997DB9">
              <w:rPr>
                <w:rFonts w:ascii="Calibri" w:hAnsi="Calibri" w:cs="Calibri"/>
                <w:color w:val="000000"/>
                <w:sz w:val="20"/>
                <w:szCs w:val="20"/>
              </w:rPr>
              <w:t>ыручка</w:t>
            </w:r>
          </w:p>
        </w:tc>
        <w:tc>
          <w:tcPr>
            <w:tcW w:w="890" w:type="dxa"/>
            <w:tcBorders>
              <w:top w:val="nil"/>
              <w:left w:val="nil"/>
              <w:bottom w:val="single" w:sz="4" w:space="0" w:color="auto"/>
              <w:right w:val="single" w:sz="4" w:space="0" w:color="auto"/>
            </w:tcBorders>
            <w:shd w:val="clear" w:color="000000" w:fill="FFE5E5"/>
            <w:vAlign w:val="center"/>
          </w:tcPr>
          <w:p w:rsidR="00EB2DE4" w:rsidRPr="00FB655C"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 xml:space="preserve">более </w:t>
            </w:r>
            <w:r w:rsidRPr="00E1449F">
              <w:rPr>
                <w:rFonts w:ascii="Calibri" w:hAnsi="Calibri" w:cs="Calibri"/>
                <w:color w:val="000000"/>
                <w:sz w:val="20"/>
                <w:szCs w:val="20"/>
              </w:rPr>
              <w:t>1.4</w:t>
            </w:r>
          </w:p>
        </w:tc>
        <w:tc>
          <w:tcPr>
            <w:tcW w:w="659" w:type="dxa"/>
            <w:tcBorders>
              <w:top w:val="nil"/>
              <w:left w:val="nil"/>
              <w:bottom w:val="single" w:sz="4" w:space="0" w:color="auto"/>
              <w:right w:val="single" w:sz="4" w:space="0" w:color="auto"/>
            </w:tcBorders>
            <w:shd w:val="clear" w:color="000000" w:fill="FFE5E5"/>
            <w:noWrap/>
            <w:vAlign w:val="center"/>
          </w:tcPr>
          <w:p w:rsidR="00EB2DE4" w:rsidRPr="00FB655C" w:rsidRDefault="00EB2DE4" w:rsidP="00C162FA">
            <w:pPr>
              <w:jc w:val="center"/>
              <w:rPr>
                <w:rFonts w:ascii="Calibri" w:hAnsi="Calibri" w:cs="Calibri"/>
                <w:color w:val="000000"/>
                <w:sz w:val="20"/>
                <w:szCs w:val="20"/>
              </w:rPr>
            </w:pPr>
            <w:r w:rsidRPr="00E1449F">
              <w:rPr>
                <w:rFonts w:ascii="Calibri" w:hAnsi="Calibri" w:cs="Calibri"/>
                <w:color w:val="000000"/>
                <w:sz w:val="20"/>
                <w:szCs w:val="20"/>
              </w:rPr>
              <w:t>1.2</w:t>
            </w:r>
          </w:p>
        </w:tc>
        <w:tc>
          <w:tcPr>
            <w:tcW w:w="659" w:type="dxa"/>
            <w:tcBorders>
              <w:top w:val="nil"/>
              <w:left w:val="nil"/>
              <w:bottom w:val="single" w:sz="4" w:space="0" w:color="auto"/>
              <w:right w:val="single" w:sz="4" w:space="0" w:color="auto"/>
            </w:tcBorders>
            <w:shd w:val="clear" w:color="000000" w:fill="FFE5E5"/>
            <w:noWrap/>
            <w:vAlign w:val="center"/>
          </w:tcPr>
          <w:p w:rsidR="00EB2DE4" w:rsidRPr="00FB655C" w:rsidRDefault="00EB2DE4" w:rsidP="00C162FA">
            <w:pPr>
              <w:jc w:val="center"/>
              <w:rPr>
                <w:rFonts w:ascii="Calibri" w:hAnsi="Calibri" w:cs="Calibri"/>
                <w:color w:val="000000"/>
                <w:sz w:val="20"/>
                <w:szCs w:val="20"/>
              </w:rPr>
            </w:pPr>
            <w:r w:rsidRPr="00E1449F">
              <w:rPr>
                <w:rFonts w:ascii="Calibri" w:hAnsi="Calibri" w:cs="Calibri"/>
                <w:color w:val="000000"/>
                <w:sz w:val="20"/>
                <w:szCs w:val="20"/>
              </w:rPr>
              <w:t>1</w:t>
            </w:r>
          </w:p>
        </w:tc>
        <w:tc>
          <w:tcPr>
            <w:tcW w:w="659" w:type="dxa"/>
            <w:tcBorders>
              <w:top w:val="nil"/>
              <w:left w:val="nil"/>
              <w:bottom w:val="single" w:sz="4" w:space="0" w:color="auto"/>
              <w:right w:val="single" w:sz="4" w:space="0" w:color="auto"/>
            </w:tcBorders>
            <w:shd w:val="clear" w:color="000000" w:fill="FFE5E5"/>
            <w:noWrap/>
            <w:vAlign w:val="center"/>
          </w:tcPr>
          <w:p w:rsidR="00EB2DE4" w:rsidRPr="00FB655C" w:rsidRDefault="00EB2DE4" w:rsidP="00C162FA">
            <w:pPr>
              <w:jc w:val="center"/>
              <w:rPr>
                <w:rFonts w:ascii="Calibri" w:hAnsi="Calibri" w:cs="Calibri"/>
                <w:color w:val="000000"/>
                <w:sz w:val="20"/>
                <w:szCs w:val="20"/>
              </w:rPr>
            </w:pPr>
            <w:r w:rsidRPr="00E1449F">
              <w:rPr>
                <w:rFonts w:ascii="Calibri" w:hAnsi="Calibri" w:cs="Calibri"/>
                <w:color w:val="000000"/>
                <w:sz w:val="20"/>
                <w:szCs w:val="20"/>
              </w:rPr>
              <w:t>0.8</w:t>
            </w:r>
          </w:p>
        </w:tc>
        <w:tc>
          <w:tcPr>
            <w:tcW w:w="659" w:type="dxa"/>
            <w:tcBorders>
              <w:top w:val="nil"/>
              <w:left w:val="nil"/>
              <w:bottom w:val="single" w:sz="4" w:space="0" w:color="auto"/>
              <w:right w:val="single" w:sz="4" w:space="0" w:color="auto"/>
            </w:tcBorders>
            <w:shd w:val="clear" w:color="000000" w:fill="F8FFB9"/>
            <w:noWrap/>
            <w:vAlign w:val="center"/>
          </w:tcPr>
          <w:p w:rsidR="00EB2DE4" w:rsidRPr="00FB655C" w:rsidRDefault="00EB2DE4" w:rsidP="00C162FA">
            <w:pPr>
              <w:jc w:val="center"/>
              <w:rPr>
                <w:rFonts w:ascii="Calibri" w:hAnsi="Calibri" w:cs="Calibri"/>
                <w:color w:val="000000"/>
                <w:sz w:val="20"/>
                <w:szCs w:val="20"/>
              </w:rPr>
            </w:pPr>
            <w:r w:rsidRPr="00E1449F">
              <w:rPr>
                <w:rFonts w:ascii="Calibri" w:hAnsi="Calibri" w:cs="Calibri"/>
                <w:color w:val="000000"/>
                <w:sz w:val="20"/>
                <w:szCs w:val="20"/>
              </w:rPr>
              <w:t>0.6</w:t>
            </w:r>
          </w:p>
        </w:tc>
        <w:tc>
          <w:tcPr>
            <w:tcW w:w="659" w:type="dxa"/>
            <w:tcBorders>
              <w:top w:val="nil"/>
              <w:left w:val="nil"/>
              <w:bottom w:val="single" w:sz="4" w:space="0" w:color="auto"/>
              <w:right w:val="single" w:sz="4" w:space="0" w:color="auto"/>
            </w:tcBorders>
            <w:shd w:val="clear" w:color="000000" w:fill="F8FFB9"/>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0.46</w:t>
            </w:r>
          </w:p>
        </w:tc>
        <w:tc>
          <w:tcPr>
            <w:tcW w:w="659" w:type="dxa"/>
            <w:tcBorders>
              <w:top w:val="nil"/>
              <w:left w:val="nil"/>
              <w:bottom w:val="single" w:sz="4" w:space="0" w:color="auto"/>
              <w:right w:val="single" w:sz="4" w:space="0" w:color="auto"/>
            </w:tcBorders>
            <w:shd w:val="clear" w:color="000000" w:fill="C6FED1"/>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0.33</w:t>
            </w:r>
          </w:p>
        </w:tc>
        <w:tc>
          <w:tcPr>
            <w:tcW w:w="659"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0,2</w:t>
            </w:r>
          </w:p>
        </w:tc>
        <w:tc>
          <w:tcPr>
            <w:tcW w:w="659"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0,15</w:t>
            </w:r>
          </w:p>
        </w:tc>
        <w:tc>
          <w:tcPr>
            <w:tcW w:w="659"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0,1</w:t>
            </w:r>
          </w:p>
        </w:tc>
        <w:tc>
          <w:tcPr>
            <w:tcW w:w="889" w:type="dxa"/>
            <w:tcBorders>
              <w:top w:val="nil"/>
              <w:left w:val="nil"/>
              <w:bottom w:val="single" w:sz="4" w:space="0" w:color="auto"/>
              <w:right w:val="single" w:sz="4" w:space="0" w:color="auto"/>
            </w:tcBorders>
            <w:shd w:val="clear" w:color="000000" w:fill="C6FED1"/>
            <w:vAlign w:val="center"/>
          </w:tcPr>
          <w:p w:rsidR="00EB2DE4" w:rsidRPr="00FB655C"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 xml:space="preserve">менее </w:t>
            </w:r>
            <w:r>
              <w:rPr>
                <w:rFonts w:ascii="Calibri" w:hAnsi="Calibri" w:cs="Calibri"/>
                <w:color w:val="000000"/>
                <w:sz w:val="20"/>
                <w:szCs w:val="20"/>
                <w:lang w:val="en-US"/>
              </w:rPr>
              <w:t>0.05</w:t>
            </w:r>
          </w:p>
        </w:tc>
      </w:tr>
      <w:tr w:rsidR="00EB2DE4" w:rsidRPr="00997DB9" w:rsidTr="00C162FA">
        <w:trPr>
          <w:trHeight w:val="823"/>
        </w:trPr>
        <w:tc>
          <w:tcPr>
            <w:tcW w:w="1943" w:type="dxa"/>
            <w:tcBorders>
              <w:top w:val="nil"/>
              <w:left w:val="single" w:sz="4" w:space="0" w:color="auto"/>
              <w:bottom w:val="single" w:sz="4" w:space="0" w:color="auto"/>
              <w:right w:val="single" w:sz="4" w:space="0" w:color="auto"/>
            </w:tcBorders>
            <w:shd w:val="clear" w:color="auto" w:fill="auto"/>
            <w:vAlign w:val="center"/>
          </w:tcPr>
          <w:p w:rsidR="00EB2DE4" w:rsidRPr="00997DB9" w:rsidRDefault="00EB2DE4" w:rsidP="00C162FA">
            <w:pPr>
              <w:rPr>
                <w:rFonts w:ascii="Calibri" w:hAnsi="Calibri" w:cs="Calibri"/>
                <w:color w:val="000000"/>
                <w:sz w:val="20"/>
                <w:szCs w:val="20"/>
              </w:rPr>
            </w:pPr>
            <w:r w:rsidRPr="00997DB9">
              <w:rPr>
                <w:rFonts w:ascii="Calibri" w:hAnsi="Calibri" w:cs="Calibri"/>
                <w:color w:val="000000"/>
                <w:sz w:val="20"/>
                <w:szCs w:val="20"/>
              </w:rPr>
              <w:t>Сумма закупки / Активы</w:t>
            </w:r>
          </w:p>
        </w:tc>
        <w:tc>
          <w:tcPr>
            <w:tcW w:w="890" w:type="dxa"/>
            <w:tcBorders>
              <w:top w:val="nil"/>
              <w:left w:val="nil"/>
              <w:bottom w:val="single" w:sz="4" w:space="0" w:color="auto"/>
              <w:right w:val="single" w:sz="4" w:space="0" w:color="auto"/>
            </w:tcBorders>
            <w:shd w:val="clear" w:color="000000" w:fill="FFE5E5"/>
            <w:vAlign w:val="center"/>
          </w:tcPr>
          <w:p w:rsidR="00EB2DE4" w:rsidRPr="00FB655C"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 xml:space="preserve">более </w:t>
            </w:r>
            <w:r>
              <w:rPr>
                <w:rFonts w:ascii="Calibri" w:hAnsi="Calibri" w:cs="Calibri"/>
                <w:color w:val="000000"/>
                <w:sz w:val="20"/>
                <w:szCs w:val="20"/>
                <w:lang w:val="en-US"/>
              </w:rPr>
              <w:t>2.8</w:t>
            </w:r>
          </w:p>
        </w:tc>
        <w:tc>
          <w:tcPr>
            <w:tcW w:w="659" w:type="dxa"/>
            <w:tcBorders>
              <w:top w:val="nil"/>
              <w:left w:val="nil"/>
              <w:bottom w:val="single" w:sz="4" w:space="0" w:color="auto"/>
              <w:right w:val="single" w:sz="4" w:space="0" w:color="auto"/>
            </w:tcBorders>
            <w:shd w:val="clear" w:color="000000" w:fill="FFE5E5"/>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2.4</w:t>
            </w:r>
          </w:p>
        </w:tc>
        <w:tc>
          <w:tcPr>
            <w:tcW w:w="659" w:type="dxa"/>
            <w:tcBorders>
              <w:top w:val="nil"/>
              <w:left w:val="nil"/>
              <w:bottom w:val="single" w:sz="4" w:space="0" w:color="auto"/>
              <w:right w:val="single" w:sz="4" w:space="0" w:color="auto"/>
            </w:tcBorders>
            <w:shd w:val="clear" w:color="000000" w:fill="FFE5E5"/>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2</w:t>
            </w:r>
          </w:p>
        </w:tc>
        <w:tc>
          <w:tcPr>
            <w:tcW w:w="659" w:type="dxa"/>
            <w:tcBorders>
              <w:top w:val="nil"/>
              <w:left w:val="nil"/>
              <w:bottom w:val="single" w:sz="4" w:space="0" w:color="auto"/>
              <w:right w:val="single" w:sz="4" w:space="0" w:color="auto"/>
            </w:tcBorders>
            <w:shd w:val="clear" w:color="000000" w:fill="FFE5E5"/>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1.6</w:t>
            </w:r>
          </w:p>
        </w:tc>
        <w:tc>
          <w:tcPr>
            <w:tcW w:w="659" w:type="dxa"/>
            <w:tcBorders>
              <w:top w:val="nil"/>
              <w:left w:val="nil"/>
              <w:bottom w:val="single" w:sz="4" w:space="0" w:color="auto"/>
              <w:right w:val="single" w:sz="4" w:space="0" w:color="auto"/>
            </w:tcBorders>
            <w:shd w:val="clear" w:color="000000" w:fill="F8FFB9"/>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1.2</w:t>
            </w:r>
          </w:p>
        </w:tc>
        <w:tc>
          <w:tcPr>
            <w:tcW w:w="659" w:type="dxa"/>
            <w:tcBorders>
              <w:top w:val="nil"/>
              <w:left w:val="nil"/>
              <w:bottom w:val="single" w:sz="4" w:space="0" w:color="auto"/>
              <w:right w:val="single" w:sz="4" w:space="0" w:color="auto"/>
            </w:tcBorders>
            <w:shd w:val="clear" w:color="000000" w:fill="F8FFB9"/>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0.92</w:t>
            </w:r>
          </w:p>
        </w:tc>
        <w:tc>
          <w:tcPr>
            <w:tcW w:w="659" w:type="dxa"/>
            <w:tcBorders>
              <w:top w:val="nil"/>
              <w:left w:val="nil"/>
              <w:bottom w:val="single" w:sz="4" w:space="0" w:color="auto"/>
              <w:right w:val="single" w:sz="4" w:space="0" w:color="auto"/>
            </w:tcBorders>
            <w:shd w:val="clear" w:color="000000" w:fill="C6FED1"/>
            <w:noWrap/>
            <w:vAlign w:val="center"/>
          </w:tcPr>
          <w:p w:rsidR="00EB2DE4" w:rsidRPr="00FB655C"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0.66</w:t>
            </w:r>
          </w:p>
        </w:tc>
        <w:tc>
          <w:tcPr>
            <w:tcW w:w="659"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0,4</w:t>
            </w:r>
          </w:p>
        </w:tc>
        <w:tc>
          <w:tcPr>
            <w:tcW w:w="659"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0,3</w:t>
            </w:r>
          </w:p>
        </w:tc>
        <w:tc>
          <w:tcPr>
            <w:tcW w:w="659" w:type="dxa"/>
            <w:tcBorders>
              <w:top w:val="nil"/>
              <w:left w:val="nil"/>
              <w:bottom w:val="single" w:sz="4" w:space="0" w:color="auto"/>
              <w:right w:val="single" w:sz="4" w:space="0" w:color="auto"/>
            </w:tcBorders>
            <w:shd w:val="clear" w:color="000000" w:fill="C6FED1"/>
            <w:noWrap/>
            <w:vAlign w:val="center"/>
          </w:tcPr>
          <w:p w:rsidR="00EB2DE4" w:rsidRPr="00997DB9"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0,2</w:t>
            </w:r>
          </w:p>
        </w:tc>
        <w:tc>
          <w:tcPr>
            <w:tcW w:w="889" w:type="dxa"/>
            <w:tcBorders>
              <w:top w:val="nil"/>
              <w:left w:val="nil"/>
              <w:bottom w:val="single" w:sz="4" w:space="0" w:color="auto"/>
              <w:right w:val="single" w:sz="4" w:space="0" w:color="auto"/>
            </w:tcBorders>
            <w:shd w:val="clear" w:color="000000" w:fill="C6FED1"/>
            <w:vAlign w:val="center"/>
          </w:tcPr>
          <w:p w:rsidR="00EB2DE4" w:rsidRPr="00FB655C" w:rsidRDefault="00EB2DE4" w:rsidP="00C162FA">
            <w:pPr>
              <w:jc w:val="center"/>
              <w:rPr>
                <w:rFonts w:ascii="Calibri" w:hAnsi="Calibri" w:cs="Calibri"/>
                <w:color w:val="000000"/>
                <w:sz w:val="20"/>
                <w:szCs w:val="20"/>
              </w:rPr>
            </w:pPr>
            <w:r w:rsidRPr="00997DB9">
              <w:rPr>
                <w:rFonts w:ascii="Calibri" w:hAnsi="Calibri" w:cs="Calibri"/>
                <w:color w:val="000000"/>
                <w:sz w:val="20"/>
                <w:szCs w:val="20"/>
              </w:rPr>
              <w:t xml:space="preserve">менее </w:t>
            </w:r>
            <w:r>
              <w:rPr>
                <w:rFonts w:ascii="Calibri" w:hAnsi="Calibri" w:cs="Calibri"/>
                <w:color w:val="000000"/>
                <w:sz w:val="20"/>
                <w:szCs w:val="20"/>
                <w:lang w:val="en-US"/>
              </w:rPr>
              <w:t>0.1</w:t>
            </w:r>
          </w:p>
        </w:tc>
      </w:tr>
    </w:tbl>
    <w:p w:rsidR="00EB2DE4" w:rsidRPr="00E1449F" w:rsidRDefault="00EB2DE4" w:rsidP="00EB2DE4">
      <w:pPr>
        <w:numPr>
          <w:ilvl w:val="1"/>
          <w:numId w:val="5"/>
        </w:numPr>
        <w:tabs>
          <w:tab w:val="clear" w:pos="792"/>
          <w:tab w:val="num" w:pos="0"/>
          <w:tab w:val="num" w:pos="574"/>
        </w:tabs>
        <w:spacing w:before="240" w:after="120"/>
        <w:ind w:left="0" w:firstLine="0"/>
        <w:jc w:val="both"/>
        <w:rPr>
          <w:rFonts w:ascii="Arial" w:hAnsi="Arial" w:cs="Arial"/>
        </w:rPr>
      </w:pPr>
      <w:r w:rsidRPr="00E1449F">
        <w:rPr>
          <w:rFonts w:ascii="Arial" w:hAnsi="Arial" w:cs="Arial"/>
        </w:rPr>
        <w:t>Оценка соответствия участника минимальным качественным требованиям в рамках финансово-экономической экспертизы</w:t>
      </w:r>
      <w:r>
        <w:rPr>
          <w:rFonts w:ascii="Arial" w:hAnsi="Arial" w:cs="Arial"/>
        </w:rPr>
        <w:t>.</w:t>
      </w:r>
    </w:p>
    <w:p w:rsidR="00EB2DE4" w:rsidRPr="00C057C5" w:rsidRDefault="00EB2DE4" w:rsidP="00EB2DE4">
      <w:pPr>
        <w:spacing w:before="120" w:after="120"/>
        <w:jc w:val="both"/>
        <w:rPr>
          <w:rFonts w:ascii="Arial" w:hAnsi="Arial" w:cs="Arial"/>
        </w:rPr>
      </w:pPr>
      <w:r w:rsidRPr="00DE0CBD">
        <w:rPr>
          <w:rFonts w:ascii="Arial" w:hAnsi="Arial" w:cs="Arial"/>
        </w:rPr>
        <w:t xml:space="preserve">Помимо обязательной справки о перечне и объемах выполнения аналогичных договоров, предоставляемой участниками, составить представление о наличии / отсутствии релевантного опыта можно на основании косвенных признаков. Такую задачу </w:t>
      </w:r>
      <w:r>
        <w:rPr>
          <w:rFonts w:ascii="Arial" w:hAnsi="Arial" w:cs="Arial"/>
        </w:rPr>
        <w:t xml:space="preserve">в рамках финансово-экономической экспертизы </w:t>
      </w:r>
      <w:r w:rsidRPr="00DE0CBD">
        <w:rPr>
          <w:rFonts w:ascii="Arial" w:hAnsi="Arial" w:cs="Arial"/>
        </w:rPr>
        <w:t>решает оценка участников закупочной процедуры на предмет соответствия минимальным качественным требованиям. Когда компания имеет продолжительную историю существования, достаточную численность персонала и при этом ее основной вид деятельности соответствует предмету закупки, в таком случае делается вывод о ее потенциальной способности осуществить необходимую поставку или оказать услугу.</w:t>
      </w:r>
    </w:p>
    <w:p w:rsidR="00EB2DE4" w:rsidRPr="00DC1806" w:rsidRDefault="00EB2DE4" w:rsidP="00EB2DE4">
      <w:pPr>
        <w:spacing w:before="120" w:after="120"/>
        <w:jc w:val="both"/>
        <w:rPr>
          <w:rFonts w:ascii="Arial" w:hAnsi="Arial" w:cs="Arial"/>
        </w:rPr>
      </w:pPr>
      <w:r>
        <w:rPr>
          <w:rFonts w:ascii="Arial" w:hAnsi="Arial" w:cs="Arial"/>
        </w:rPr>
        <w:t>Будучи формализованной в численном выражении оценка по критерию «срок существования компании»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w:t>
      </w:r>
    </w:p>
    <w:p w:rsidR="00EB2DE4" w:rsidRPr="00DE0CBD" w:rsidRDefault="00EB2DE4" w:rsidP="00EB2DE4">
      <w:pPr>
        <w:spacing w:before="240" w:after="120"/>
        <w:ind w:left="425"/>
        <w:jc w:val="right"/>
        <w:rPr>
          <w:rFonts w:ascii="Arial" w:hAnsi="Arial" w:cs="Arial"/>
        </w:rPr>
      </w:pPr>
      <w:r w:rsidRPr="006B3617">
        <w:rPr>
          <w:rFonts w:ascii="Arial" w:hAnsi="Arial" w:cs="Arial"/>
        </w:rPr>
        <w:t xml:space="preserve">Таблица </w:t>
      </w:r>
      <w:r>
        <w:rPr>
          <w:rFonts w:ascii="Arial" w:hAnsi="Arial" w:cs="Arial"/>
        </w:rPr>
        <w:t>5. Перевод показателей в баллы по шкале от 0 до 1.</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899"/>
        <w:gridCol w:w="599"/>
        <w:gridCol w:w="599"/>
        <w:gridCol w:w="599"/>
        <w:gridCol w:w="599"/>
        <w:gridCol w:w="649"/>
        <w:gridCol w:w="649"/>
        <w:gridCol w:w="649"/>
        <w:gridCol w:w="824"/>
        <w:gridCol w:w="824"/>
        <w:gridCol w:w="808"/>
      </w:tblGrid>
      <w:tr w:rsidR="00EB2DE4" w:rsidTr="00C162FA">
        <w:trPr>
          <w:trHeight w:val="306"/>
        </w:trPr>
        <w:tc>
          <w:tcPr>
            <w:tcW w:w="1962" w:type="dxa"/>
            <w:shd w:val="clear" w:color="000000" w:fill="F2F2F2"/>
            <w:noWrap/>
            <w:vAlign w:val="bottom"/>
          </w:tcPr>
          <w:p w:rsidR="00EB2DE4" w:rsidRDefault="00EB2DE4" w:rsidP="00C162FA">
            <w:pPr>
              <w:rPr>
                <w:rFonts w:ascii="Calibri" w:hAnsi="Calibri" w:cs="Calibri"/>
                <w:color w:val="000000"/>
                <w:sz w:val="22"/>
                <w:szCs w:val="22"/>
              </w:rPr>
            </w:pPr>
            <w:r>
              <w:rPr>
                <w:rFonts w:ascii="Calibri" w:hAnsi="Calibri" w:cs="Calibri"/>
                <w:color w:val="000000"/>
                <w:sz w:val="22"/>
                <w:szCs w:val="22"/>
              </w:rPr>
              <w:t>Оценка</w:t>
            </w:r>
          </w:p>
          <w:p w:rsidR="00EB2DE4" w:rsidRDefault="00EB2DE4" w:rsidP="00C162FA">
            <w:pPr>
              <w:rPr>
                <w:rFonts w:ascii="Calibri" w:hAnsi="Calibri" w:cs="Calibri"/>
                <w:color w:val="000000"/>
                <w:sz w:val="22"/>
                <w:szCs w:val="22"/>
              </w:rPr>
            </w:pPr>
            <w:r>
              <w:rPr>
                <w:rFonts w:ascii="Calibri" w:hAnsi="Calibri" w:cs="Calibri"/>
                <w:color w:val="000000"/>
                <w:sz w:val="22"/>
                <w:szCs w:val="22"/>
              </w:rPr>
              <w:t>(мин 0 - макс 1)</w:t>
            </w:r>
          </w:p>
        </w:tc>
        <w:tc>
          <w:tcPr>
            <w:tcW w:w="89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0,0</w:t>
            </w:r>
          </w:p>
        </w:tc>
        <w:tc>
          <w:tcPr>
            <w:tcW w:w="59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0,1</w:t>
            </w:r>
          </w:p>
        </w:tc>
        <w:tc>
          <w:tcPr>
            <w:tcW w:w="59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0,2</w:t>
            </w:r>
          </w:p>
        </w:tc>
        <w:tc>
          <w:tcPr>
            <w:tcW w:w="59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0,3</w:t>
            </w:r>
          </w:p>
        </w:tc>
        <w:tc>
          <w:tcPr>
            <w:tcW w:w="59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0,4</w:t>
            </w:r>
          </w:p>
        </w:tc>
        <w:tc>
          <w:tcPr>
            <w:tcW w:w="64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0,5</w:t>
            </w:r>
          </w:p>
        </w:tc>
        <w:tc>
          <w:tcPr>
            <w:tcW w:w="64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0,6</w:t>
            </w:r>
          </w:p>
        </w:tc>
        <w:tc>
          <w:tcPr>
            <w:tcW w:w="649"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0,7</w:t>
            </w:r>
          </w:p>
        </w:tc>
        <w:tc>
          <w:tcPr>
            <w:tcW w:w="824"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0,8</w:t>
            </w:r>
          </w:p>
        </w:tc>
        <w:tc>
          <w:tcPr>
            <w:tcW w:w="824"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0,9</w:t>
            </w:r>
          </w:p>
        </w:tc>
        <w:tc>
          <w:tcPr>
            <w:tcW w:w="808" w:type="dxa"/>
            <w:shd w:val="clear" w:color="000000" w:fill="F2F2F2"/>
            <w:noWrap/>
            <w:vAlign w:val="center"/>
          </w:tcPr>
          <w:p w:rsidR="00EB2DE4" w:rsidRDefault="00EB2DE4" w:rsidP="00C162FA">
            <w:pPr>
              <w:jc w:val="center"/>
              <w:rPr>
                <w:rFonts w:ascii="Calibri" w:hAnsi="Calibri" w:cs="Calibri"/>
                <w:color w:val="000000"/>
                <w:sz w:val="22"/>
                <w:szCs w:val="22"/>
              </w:rPr>
            </w:pPr>
            <w:r>
              <w:rPr>
                <w:rFonts w:ascii="Calibri" w:hAnsi="Calibri" w:cs="Calibri"/>
                <w:color w:val="000000"/>
                <w:sz w:val="22"/>
                <w:szCs w:val="22"/>
              </w:rPr>
              <w:t>1,0</w:t>
            </w:r>
          </w:p>
        </w:tc>
      </w:tr>
      <w:tr w:rsidR="00EB2DE4" w:rsidRPr="00580D92" w:rsidTr="00C162FA">
        <w:trPr>
          <w:trHeight w:val="611"/>
        </w:trPr>
        <w:tc>
          <w:tcPr>
            <w:tcW w:w="1962" w:type="dxa"/>
            <w:shd w:val="clear" w:color="auto" w:fill="auto"/>
          </w:tcPr>
          <w:p w:rsidR="00EB2DE4" w:rsidRPr="00580D92" w:rsidRDefault="00EB2DE4" w:rsidP="00C162FA">
            <w:pPr>
              <w:rPr>
                <w:rFonts w:ascii="Calibri" w:hAnsi="Calibri" w:cs="Calibri"/>
                <w:color w:val="000000"/>
                <w:sz w:val="20"/>
                <w:szCs w:val="20"/>
              </w:rPr>
            </w:pPr>
            <w:r w:rsidRPr="00580D92">
              <w:rPr>
                <w:rFonts w:ascii="Calibri" w:hAnsi="Calibri" w:cs="Calibri"/>
                <w:color w:val="000000"/>
                <w:sz w:val="20"/>
                <w:szCs w:val="20"/>
              </w:rPr>
              <w:t>срок существования компании, лет</w:t>
            </w:r>
          </w:p>
        </w:tc>
        <w:tc>
          <w:tcPr>
            <w:tcW w:w="899" w:type="dxa"/>
            <w:shd w:val="clear" w:color="000000" w:fill="FFE5E5"/>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менее 1 года</w:t>
            </w:r>
          </w:p>
        </w:tc>
        <w:tc>
          <w:tcPr>
            <w:tcW w:w="599" w:type="dxa"/>
            <w:shd w:val="clear" w:color="000000" w:fill="FFE5E5"/>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1,4</w:t>
            </w:r>
          </w:p>
        </w:tc>
        <w:tc>
          <w:tcPr>
            <w:tcW w:w="599" w:type="dxa"/>
            <w:shd w:val="clear" w:color="000000" w:fill="FFE5E5"/>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1,8</w:t>
            </w:r>
          </w:p>
        </w:tc>
        <w:tc>
          <w:tcPr>
            <w:tcW w:w="599" w:type="dxa"/>
            <w:shd w:val="clear" w:color="000000" w:fill="FFE5E5"/>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2,2</w:t>
            </w:r>
          </w:p>
        </w:tc>
        <w:tc>
          <w:tcPr>
            <w:tcW w:w="599" w:type="dxa"/>
            <w:shd w:val="clear" w:color="000000" w:fill="F8FFB9"/>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2,6</w:t>
            </w:r>
          </w:p>
        </w:tc>
        <w:tc>
          <w:tcPr>
            <w:tcW w:w="649" w:type="dxa"/>
            <w:shd w:val="clear" w:color="000000" w:fill="F8FFB9"/>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3</w:t>
            </w:r>
          </w:p>
        </w:tc>
        <w:tc>
          <w:tcPr>
            <w:tcW w:w="649" w:type="dxa"/>
            <w:shd w:val="clear" w:color="000000" w:fill="C6FED1"/>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4,4</w:t>
            </w:r>
          </w:p>
        </w:tc>
        <w:tc>
          <w:tcPr>
            <w:tcW w:w="649" w:type="dxa"/>
            <w:shd w:val="clear" w:color="000000" w:fill="C6FED1"/>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5,8</w:t>
            </w:r>
          </w:p>
        </w:tc>
        <w:tc>
          <w:tcPr>
            <w:tcW w:w="824" w:type="dxa"/>
            <w:shd w:val="clear" w:color="000000" w:fill="C6FED1"/>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7,2</w:t>
            </w:r>
          </w:p>
        </w:tc>
        <w:tc>
          <w:tcPr>
            <w:tcW w:w="824" w:type="dxa"/>
            <w:shd w:val="clear" w:color="000000" w:fill="C6FED1"/>
            <w:noWrap/>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8,6</w:t>
            </w:r>
          </w:p>
        </w:tc>
        <w:tc>
          <w:tcPr>
            <w:tcW w:w="808" w:type="dxa"/>
            <w:shd w:val="clear" w:color="000000" w:fill="C6FED1"/>
            <w:vAlign w:val="center"/>
          </w:tcPr>
          <w:p w:rsidR="00EB2DE4" w:rsidRPr="00580D92" w:rsidRDefault="00EB2DE4" w:rsidP="00C162FA">
            <w:pPr>
              <w:jc w:val="center"/>
              <w:rPr>
                <w:rFonts w:ascii="Calibri" w:hAnsi="Calibri" w:cs="Calibri"/>
                <w:color w:val="000000"/>
                <w:sz w:val="20"/>
                <w:szCs w:val="20"/>
              </w:rPr>
            </w:pPr>
            <w:r w:rsidRPr="00580D92">
              <w:rPr>
                <w:rFonts w:ascii="Calibri" w:hAnsi="Calibri" w:cs="Calibri"/>
                <w:color w:val="000000"/>
                <w:sz w:val="20"/>
                <w:szCs w:val="20"/>
              </w:rPr>
              <w:t>более 10 лет</w:t>
            </w:r>
          </w:p>
        </w:tc>
      </w:tr>
    </w:tbl>
    <w:p w:rsidR="00EB2DE4" w:rsidRPr="00E1449F" w:rsidRDefault="00EB2DE4" w:rsidP="00EB2DE4">
      <w:pPr>
        <w:numPr>
          <w:ilvl w:val="1"/>
          <w:numId w:val="5"/>
        </w:numPr>
        <w:tabs>
          <w:tab w:val="clear" w:pos="792"/>
          <w:tab w:val="num" w:pos="0"/>
          <w:tab w:val="num" w:pos="574"/>
        </w:tabs>
        <w:spacing w:before="240" w:after="120"/>
        <w:ind w:left="0" w:firstLine="0"/>
        <w:jc w:val="both"/>
        <w:rPr>
          <w:rFonts w:ascii="Arial" w:hAnsi="Arial" w:cs="Arial"/>
        </w:rPr>
      </w:pPr>
      <w:r w:rsidRPr="00E1449F">
        <w:rPr>
          <w:rFonts w:ascii="Arial" w:hAnsi="Arial" w:cs="Arial"/>
        </w:rPr>
        <w:t>Финансовые условия сделки</w:t>
      </w:r>
      <w:r>
        <w:rPr>
          <w:rFonts w:ascii="Arial" w:hAnsi="Arial" w:cs="Arial"/>
        </w:rPr>
        <w:t>.</w:t>
      </w:r>
    </w:p>
    <w:p w:rsidR="00EB2DE4" w:rsidRDefault="00EB2DE4" w:rsidP="00EB2DE4">
      <w:pPr>
        <w:spacing w:before="120" w:after="120"/>
        <w:jc w:val="both"/>
        <w:rPr>
          <w:rFonts w:ascii="Arial" w:hAnsi="Arial" w:cs="Arial"/>
        </w:rPr>
      </w:pPr>
      <w:r w:rsidRPr="00DE0CBD">
        <w:rPr>
          <w:rFonts w:ascii="Arial" w:hAnsi="Arial" w:cs="Arial"/>
        </w:rPr>
        <w:t>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банковской гарантии соответствует наибольшему риску.</w:t>
      </w:r>
    </w:p>
    <w:p w:rsidR="00EB2DE4" w:rsidRDefault="00EB2DE4" w:rsidP="00EB2DE4">
      <w:pPr>
        <w:spacing w:before="120" w:after="120"/>
        <w:jc w:val="both"/>
        <w:rPr>
          <w:rFonts w:ascii="Arial" w:hAnsi="Arial" w:cs="Arial"/>
        </w:rPr>
      </w:pPr>
      <w:r>
        <w:rPr>
          <w:rFonts w:ascii="Arial" w:hAnsi="Arial" w:cs="Arial"/>
        </w:rPr>
        <w:t xml:space="preserve">Оценка по критерию «финансовые условия сделки» осуществляется с учетом соотношения величины планируемого аванса с активами и годовой выручкой </w:t>
      </w:r>
      <w:r>
        <w:rPr>
          <w:rFonts w:ascii="Arial" w:hAnsi="Arial" w:cs="Arial"/>
        </w:rPr>
        <w:lastRenderedPageBreak/>
        <w:t>оцениваемой компании. Чем меньше величина аванса в масштабах деятельности оцениваемой компании, тем меньшее влияние факт наличия предоплаты оказывает на итоговую оценку кредитного риска; оценка в таком случае приближается к единице - максимально возможной оценке по данному частному критерию.</w:t>
      </w:r>
    </w:p>
    <w:p w:rsidR="00EB2DE4" w:rsidRPr="00DE0CBD" w:rsidRDefault="00EB2DE4" w:rsidP="00EB2DE4">
      <w:pPr>
        <w:spacing w:before="120" w:after="120"/>
        <w:jc w:val="both"/>
        <w:rPr>
          <w:rFonts w:ascii="Arial" w:hAnsi="Arial" w:cs="Arial"/>
        </w:rPr>
      </w:pPr>
      <w:r>
        <w:rPr>
          <w:rFonts w:ascii="Arial" w:hAnsi="Arial" w:cs="Arial"/>
        </w:rPr>
        <w:t>В тех случаях, когда отдельными локальными нормативными актами бизнес-дивизиона «Электрогенерация» устанавливаются ограничения на принимаемые банковские гарантии в части указания перечня банков, суммы и сроков гарантий, эксперт по направлению финансово-экономической экспертизы проводит оценку соответствия предлагаемой банковской гарантии требованиям указанного локального нормативного акта. А в случае отсутствия на этапе закупочной процедуры информации по банковской гарантии, дает рекомендации по соблюдению требований соответствующего локального нормативного акта.</w:t>
      </w:r>
    </w:p>
    <w:p w:rsidR="00EB2DE4" w:rsidRPr="00DE0CBD" w:rsidRDefault="00EB2DE4" w:rsidP="00EB2DE4">
      <w:pPr>
        <w:spacing w:before="240" w:after="120"/>
        <w:ind w:left="425"/>
        <w:jc w:val="right"/>
        <w:rPr>
          <w:rFonts w:ascii="Arial" w:hAnsi="Arial" w:cs="Arial"/>
        </w:rPr>
      </w:pPr>
      <w:r w:rsidRPr="00DE0CBD">
        <w:rPr>
          <w:rFonts w:ascii="Arial" w:hAnsi="Arial" w:cs="Arial"/>
        </w:rPr>
        <w:t>Таблица</w:t>
      </w:r>
      <w:r>
        <w:rPr>
          <w:rFonts w:ascii="Arial" w:hAnsi="Arial" w:cs="Arial"/>
        </w:rPr>
        <w:t xml:space="preserve"> 6. Оценка финансовых условий сделки.</w:t>
      </w:r>
    </w:p>
    <w:tbl>
      <w:tblPr>
        <w:tblW w:w="9646" w:type="dxa"/>
        <w:tblInd w:w="93" w:type="dxa"/>
        <w:tblLook w:val="04A0" w:firstRow="1" w:lastRow="0" w:firstColumn="1" w:lastColumn="0" w:noHBand="0" w:noVBand="1"/>
      </w:tblPr>
      <w:tblGrid>
        <w:gridCol w:w="1926"/>
        <w:gridCol w:w="882"/>
        <w:gridCol w:w="592"/>
        <w:gridCol w:w="592"/>
        <w:gridCol w:w="592"/>
        <w:gridCol w:w="592"/>
        <w:gridCol w:w="592"/>
        <w:gridCol w:w="713"/>
        <w:gridCol w:w="592"/>
        <w:gridCol w:w="823"/>
        <w:gridCol w:w="754"/>
        <w:gridCol w:w="996"/>
      </w:tblGrid>
      <w:tr w:rsidR="00EB2DE4" w:rsidTr="00C162FA">
        <w:trPr>
          <w:trHeight w:val="633"/>
        </w:trPr>
        <w:tc>
          <w:tcPr>
            <w:tcW w:w="1926" w:type="dxa"/>
            <w:tcBorders>
              <w:top w:val="single" w:sz="8" w:space="0" w:color="auto"/>
              <w:left w:val="single" w:sz="8" w:space="0" w:color="auto"/>
              <w:bottom w:val="single" w:sz="8" w:space="0" w:color="auto"/>
              <w:right w:val="single" w:sz="8" w:space="0" w:color="auto"/>
            </w:tcBorders>
            <w:shd w:val="clear" w:color="000000" w:fill="F2F2F2"/>
            <w:vAlign w:val="center"/>
          </w:tcPr>
          <w:p w:rsidR="00EB2DE4" w:rsidRPr="00DA178E" w:rsidRDefault="00EB2DE4" w:rsidP="00C162FA">
            <w:pPr>
              <w:rPr>
                <w:rFonts w:ascii="Calibri" w:hAnsi="Calibri" w:cs="Calibri"/>
                <w:color w:val="000000"/>
                <w:sz w:val="20"/>
                <w:szCs w:val="20"/>
              </w:rPr>
            </w:pPr>
            <w:r w:rsidRPr="00DA178E">
              <w:rPr>
                <w:rFonts w:ascii="Calibri" w:hAnsi="Calibri" w:cs="Calibri"/>
                <w:color w:val="000000"/>
                <w:sz w:val="20"/>
                <w:szCs w:val="20"/>
              </w:rPr>
              <w:t>Оценка при отсутствии аванса</w:t>
            </w:r>
          </w:p>
        </w:tc>
        <w:tc>
          <w:tcPr>
            <w:tcW w:w="7720" w:type="dxa"/>
            <w:gridSpan w:val="11"/>
            <w:tcBorders>
              <w:top w:val="single" w:sz="8" w:space="0" w:color="auto"/>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1</w:t>
            </w:r>
          </w:p>
        </w:tc>
      </w:tr>
      <w:tr w:rsidR="00EB2DE4" w:rsidTr="00C162FA">
        <w:trPr>
          <w:trHeight w:val="941"/>
        </w:trPr>
        <w:tc>
          <w:tcPr>
            <w:tcW w:w="1926" w:type="dxa"/>
            <w:tcBorders>
              <w:top w:val="nil"/>
              <w:left w:val="single" w:sz="8" w:space="0" w:color="auto"/>
              <w:bottom w:val="single" w:sz="8" w:space="0" w:color="auto"/>
              <w:right w:val="single" w:sz="8" w:space="0" w:color="auto"/>
            </w:tcBorders>
            <w:shd w:val="clear" w:color="000000" w:fill="F2F2F2"/>
            <w:vAlign w:val="center"/>
          </w:tcPr>
          <w:p w:rsidR="00EB2DE4" w:rsidRPr="00DA178E" w:rsidRDefault="00EB2DE4" w:rsidP="00C162FA">
            <w:pPr>
              <w:rPr>
                <w:rFonts w:ascii="Calibri" w:hAnsi="Calibri" w:cs="Calibri"/>
                <w:color w:val="000000"/>
                <w:sz w:val="20"/>
                <w:szCs w:val="20"/>
              </w:rPr>
            </w:pPr>
            <w:r w:rsidRPr="00DA178E">
              <w:rPr>
                <w:rFonts w:ascii="Calibri" w:hAnsi="Calibri" w:cs="Calibri"/>
                <w:color w:val="000000"/>
                <w:sz w:val="20"/>
                <w:szCs w:val="20"/>
              </w:rPr>
              <w:t>Оценка при полном покрытии аванса банковской гарантией</w:t>
            </w:r>
          </w:p>
        </w:tc>
        <w:tc>
          <w:tcPr>
            <w:tcW w:w="882" w:type="dxa"/>
            <w:tcBorders>
              <w:top w:val="nil"/>
              <w:left w:val="nil"/>
              <w:bottom w:val="single" w:sz="8" w:space="0" w:color="auto"/>
              <w:right w:val="single" w:sz="8" w:space="0" w:color="auto"/>
            </w:tcBorders>
            <w:shd w:val="clear" w:color="000000" w:fill="F8FFB9"/>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0,4</w:t>
            </w:r>
          </w:p>
        </w:tc>
        <w:tc>
          <w:tcPr>
            <w:tcW w:w="592" w:type="dxa"/>
            <w:tcBorders>
              <w:top w:val="nil"/>
              <w:left w:val="nil"/>
              <w:bottom w:val="single" w:sz="8" w:space="0" w:color="auto"/>
              <w:right w:val="single" w:sz="8" w:space="0" w:color="auto"/>
            </w:tcBorders>
            <w:shd w:val="clear" w:color="000000" w:fill="F8FFB9"/>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0,46</w:t>
            </w:r>
          </w:p>
        </w:tc>
        <w:tc>
          <w:tcPr>
            <w:tcW w:w="592" w:type="dxa"/>
            <w:tcBorders>
              <w:top w:val="nil"/>
              <w:left w:val="nil"/>
              <w:bottom w:val="single" w:sz="8" w:space="0" w:color="auto"/>
              <w:right w:val="single" w:sz="8" w:space="0" w:color="auto"/>
            </w:tcBorders>
            <w:shd w:val="clear" w:color="000000" w:fill="F8FFB9"/>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0,52</w:t>
            </w:r>
          </w:p>
        </w:tc>
        <w:tc>
          <w:tcPr>
            <w:tcW w:w="592" w:type="dxa"/>
            <w:tcBorders>
              <w:top w:val="nil"/>
              <w:left w:val="nil"/>
              <w:bottom w:val="single" w:sz="8" w:space="0" w:color="auto"/>
              <w:right w:val="single" w:sz="8" w:space="0" w:color="auto"/>
            </w:tcBorders>
            <w:shd w:val="clear" w:color="000000" w:fill="F8FFB9"/>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0,58</w:t>
            </w:r>
          </w:p>
        </w:tc>
        <w:tc>
          <w:tcPr>
            <w:tcW w:w="592"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0,64</w:t>
            </w:r>
          </w:p>
        </w:tc>
        <w:tc>
          <w:tcPr>
            <w:tcW w:w="592"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0,7</w:t>
            </w:r>
          </w:p>
        </w:tc>
        <w:tc>
          <w:tcPr>
            <w:tcW w:w="713"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0,76</w:t>
            </w:r>
          </w:p>
        </w:tc>
        <w:tc>
          <w:tcPr>
            <w:tcW w:w="592"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0,82</w:t>
            </w:r>
          </w:p>
        </w:tc>
        <w:tc>
          <w:tcPr>
            <w:tcW w:w="823"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0,88</w:t>
            </w:r>
          </w:p>
        </w:tc>
        <w:tc>
          <w:tcPr>
            <w:tcW w:w="754"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0,94</w:t>
            </w:r>
          </w:p>
        </w:tc>
        <w:tc>
          <w:tcPr>
            <w:tcW w:w="996"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1</w:t>
            </w:r>
          </w:p>
        </w:tc>
      </w:tr>
      <w:tr w:rsidR="00EB2DE4" w:rsidTr="00C162FA">
        <w:trPr>
          <w:trHeight w:val="941"/>
        </w:trPr>
        <w:tc>
          <w:tcPr>
            <w:tcW w:w="1926" w:type="dxa"/>
            <w:tcBorders>
              <w:top w:val="nil"/>
              <w:left w:val="single" w:sz="8" w:space="0" w:color="auto"/>
              <w:bottom w:val="single" w:sz="8" w:space="0" w:color="auto"/>
              <w:right w:val="single" w:sz="8" w:space="0" w:color="auto"/>
            </w:tcBorders>
            <w:shd w:val="clear" w:color="000000" w:fill="F2F2F2"/>
            <w:vAlign w:val="center"/>
          </w:tcPr>
          <w:p w:rsidR="00EB2DE4" w:rsidRPr="00DA178E" w:rsidRDefault="00EB2DE4" w:rsidP="00C162FA">
            <w:pPr>
              <w:rPr>
                <w:rFonts w:ascii="Calibri" w:hAnsi="Calibri" w:cs="Calibri"/>
                <w:color w:val="000000"/>
                <w:sz w:val="20"/>
                <w:szCs w:val="20"/>
              </w:rPr>
            </w:pPr>
            <w:r w:rsidRPr="00DA178E">
              <w:rPr>
                <w:rFonts w:ascii="Calibri" w:hAnsi="Calibri" w:cs="Calibri"/>
                <w:color w:val="000000"/>
                <w:sz w:val="20"/>
                <w:szCs w:val="20"/>
              </w:rPr>
              <w:t>Оценка при выплате аванса без покрытия банковской гарантией</w:t>
            </w:r>
          </w:p>
        </w:tc>
        <w:tc>
          <w:tcPr>
            <w:tcW w:w="882" w:type="dxa"/>
            <w:tcBorders>
              <w:top w:val="nil"/>
              <w:left w:val="nil"/>
              <w:bottom w:val="single" w:sz="8" w:space="0" w:color="auto"/>
              <w:right w:val="single" w:sz="8" w:space="0" w:color="auto"/>
            </w:tcBorders>
            <w:shd w:val="clear" w:color="000000" w:fill="FFE5E5"/>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w:t>
            </w:r>
          </w:p>
        </w:tc>
        <w:tc>
          <w:tcPr>
            <w:tcW w:w="592" w:type="dxa"/>
            <w:tcBorders>
              <w:top w:val="nil"/>
              <w:left w:val="nil"/>
              <w:bottom w:val="single" w:sz="8" w:space="0" w:color="auto"/>
              <w:right w:val="single" w:sz="8" w:space="0" w:color="auto"/>
            </w:tcBorders>
            <w:shd w:val="clear" w:color="000000" w:fill="FFE5E5"/>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0,07</w:t>
            </w:r>
          </w:p>
        </w:tc>
        <w:tc>
          <w:tcPr>
            <w:tcW w:w="592" w:type="dxa"/>
            <w:tcBorders>
              <w:top w:val="nil"/>
              <w:left w:val="nil"/>
              <w:bottom w:val="single" w:sz="8" w:space="0" w:color="auto"/>
              <w:right w:val="single" w:sz="8" w:space="0" w:color="auto"/>
            </w:tcBorders>
            <w:shd w:val="clear" w:color="000000" w:fill="FFE5E5"/>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0,14</w:t>
            </w:r>
          </w:p>
        </w:tc>
        <w:tc>
          <w:tcPr>
            <w:tcW w:w="592" w:type="dxa"/>
            <w:tcBorders>
              <w:top w:val="nil"/>
              <w:left w:val="nil"/>
              <w:bottom w:val="single" w:sz="8" w:space="0" w:color="auto"/>
              <w:right w:val="single" w:sz="8" w:space="0" w:color="auto"/>
            </w:tcBorders>
            <w:shd w:val="clear" w:color="000000" w:fill="FFE5E5"/>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0,21</w:t>
            </w:r>
          </w:p>
        </w:tc>
        <w:tc>
          <w:tcPr>
            <w:tcW w:w="592" w:type="dxa"/>
            <w:tcBorders>
              <w:top w:val="nil"/>
              <w:left w:val="nil"/>
              <w:bottom w:val="single" w:sz="8" w:space="0" w:color="auto"/>
              <w:right w:val="single" w:sz="8" w:space="0" w:color="auto"/>
            </w:tcBorders>
            <w:shd w:val="clear" w:color="000000" w:fill="FFE5E5"/>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0,28</w:t>
            </w:r>
          </w:p>
        </w:tc>
        <w:tc>
          <w:tcPr>
            <w:tcW w:w="592" w:type="dxa"/>
            <w:tcBorders>
              <w:top w:val="nil"/>
              <w:left w:val="nil"/>
              <w:bottom w:val="single" w:sz="8" w:space="0" w:color="auto"/>
              <w:right w:val="single" w:sz="8" w:space="0" w:color="auto"/>
            </w:tcBorders>
            <w:shd w:val="clear" w:color="000000" w:fill="FFE5E5"/>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0,35</w:t>
            </w:r>
          </w:p>
        </w:tc>
        <w:tc>
          <w:tcPr>
            <w:tcW w:w="713" w:type="dxa"/>
            <w:tcBorders>
              <w:top w:val="nil"/>
              <w:left w:val="nil"/>
              <w:bottom w:val="single" w:sz="8" w:space="0" w:color="auto"/>
              <w:right w:val="single" w:sz="8" w:space="0" w:color="auto"/>
            </w:tcBorders>
            <w:shd w:val="clear" w:color="000000" w:fill="F8FFB9"/>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0,42</w:t>
            </w:r>
          </w:p>
        </w:tc>
        <w:tc>
          <w:tcPr>
            <w:tcW w:w="592" w:type="dxa"/>
            <w:tcBorders>
              <w:top w:val="nil"/>
              <w:left w:val="nil"/>
              <w:bottom w:val="single" w:sz="8" w:space="0" w:color="auto"/>
              <w:right w:val="single" w:sz="8" w:space="0" w:color="auto"/>
            </w:tcBorders>
            <w:shd w:val="clear" w:color="000000" w:fill="F8FFB9"/>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0,49</w:t>
            </w:r>
          </w:p>
        </w:tc>
        <w:tc>
          <w:tcPr>
            <w:tcW w:w="823" w:type="dxa"/>
            <w:tcBorders>
              <w:top w:val="nil"/>
              <w:left w:val="nil"/>
              <w:bottom w:val="single" w:sz="8" w:space="0" w:color="auto"/>
              <w:right w:val="single" w:sz="8" w:space="0" w:color="auto"/>
            </w:tcBorders>
            <w:shd w:val="clear" w:color="000000" w:fill="F8FFB9"/>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0,56</w:t>
            </w:r>
          </w:p>
        </w:tc>
        <w:tc>
          <w:tcPr>
            <w:tcW w:w="754"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0,63</w:t>
            </w:r>
          </w:p>
        </w:tc>
        <w:tc>
          <w:tcPr>
            <w:tcW w:w="996" w:type="dxa"/>
            <w:tcBorders>
              <w:top w:val="nil"/>
              <w:left w:val="nil"/>
              <w:bottom w:val="single" w:sz="8" w:space="0" w:color="auto"/>
              <w:right w:val="single" w:sz="8" w:space="0" w:color="auto"/>
            </w:tcBorders>
            <w:shd w:val="clear" w:color="000000" w:fill="C6FED1"/>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0,7</w:t>
            </w:r>
          </w:p>
        </w:tc>
      </w:tr>
      <w:tr w:rsidR="00EB2DE4" w:rsidTr="00C162FA">
        <w:trPr>
          <w:trHeight w:val="540"/>
        </w:trPr>
        <w:tc>
          <w:tcPr>
            <w:tcW w:w="1926" w:type="dxa"/>
            <w:tcBorders>
              <w:top w:val="nil"/>
              <w:left w:val="single" w:sz="8" w:space="0" w:color="auto"/>
              <w:bottom w:val="single" w:sz="8" w:space="0" w:color="auto"/>
              <w:right w:val="single" w:sz="8" w:space="0" w:color="auto"/>
            </w:tcBorders>
            <w:shd w:val="clear" w:color="auto" w:fill="auto"/>
            <w:vAlign w:val="center"/>
          </w:tcPr>
          <w:p w:rsidR="00EB2DE4" w:rsidRDefault="00EB2DE4" w:rsidP="00C162FA">
            <w:pPr>
              <w:rPr>
                <w:rFonts w:ascii="Calibri" w:hAnsi="Calibri" w:cs="Calibri"/>
                <w:color w:val="000000"/>
                <w:sz w:val="20"/>
                <w:szCs w:val="20"/>
              </w:rPr>
            </w:pPr>
            <w:r>
              <w:rPr>
                <w:rFonts w:ascii="Calibri" w:hAnsi="Calibri" w:cs="Calibri"/>
                <w:color w:val="000000"/>
                <w:sz w:val="20"/>
                <w:szCs w:val="20"/>
              </w:rPr>
              <w:t>Величина аванса / Годовая выручка</w:t>
            </w:r>
          </w:p>
        </w:tc>
        <w:tc>
          <w:tcPr>
            <w:tcW w:w="882" w:type="dxa"/>
            <w:tcBorders>
              <w:top w:val="nil"/>
              <w:left w:val="nil"/>
              <w:bottom w:val="single" w:sz="8" w:space="0" w:color="auto"/>
              <w:right w:val="single" w:sz="8" w:space="0" w:color="auto"/>
            </w:tcBorders>
            <w:shd w:val="clear" w:color="auto" w:fill="auto"/>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0,7 и более</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0,6</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0,5</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0,4</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0,3</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0,23</w:t>
            </w:r>
          </w:p>
        </w:tc>
        <w:tc>
          <w:tcPr>
            <w:tcW w:w="713"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0,16</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0,1</w:t>
            </w:r>
          </w:p>
        </w:tc>
        <w:tc>
          <w:tcPr>
            <w:tcW w:w="823"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0,07</w:t>
            </w:r>
          </w:p>
        </w:tc>
        <w:tc>
          <w:tcPr>
            <w:tcW w:w="754"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0,05</w:t>
            </w:r>
          </w:p>
        </w:tc>
        <w:tc>
          <w:tcPr>
            <w:tcW w:w="996" w:type="dxa"/>
            <w:tcBorders>
              <w:top w:val="nil"/>
              <w:left w:val="nil"/>
              <w:bottom w:val="single" w:sz="8" w:space="0" w:color="auto"/>
              <w:right w:val="single" w:sz="8" w:space="0" w:color="auto"/>
            </w:tcBorders>
            <w:shd w:val="clear" w:color="auto" w:fill="auto"/>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0.025 и менее</w:t>
            </w:r>
          </w:p>
        </w:tc>
      </w:tr>
      <w:tr w:rsidR="00EB2DE4" w:rsidTr="00C162FA">
        <w:trPr>
          <w:trHeight w:val="540"/>
        </w:trPr>
        <w:tc>
          <w:tcPr>
            <w:tcW w:w="1926" w:type="dxa"/>
            <w:tcBorders>
              <w:top w:val="nil"/>
              <w:left w:val="single" w:sz="8" w:space="0" w:color="auto"/>
              <w:bottom w:val="single" w:sz="8" w:space="0" w:color="auto"/>
              <w:right w:val="single" w:sz="8" w:space="0" w:color="auto"/>
            </w:tcBorders>
            <w:shd w:val="clear" w:color="auto" w:fill="auto"/>
            <w:vAlign w:val="center"/>
          </w:tcPr>
          <w:p w:rsidR="00EB2DE4" w:rsidRDefault="00EB2DE4" w:rsidP="00C162FA">
            <w:pPr>
              <w:rPr>
                <w:rFonts w:ascii="Calibri" w:hAnsi="Calibri" w:cs="Calibri"/>
                <w:color w:val="000000"/>
                <w:sz w:val="20"/>
                <w:szCs w:val="20"/>
              </w:rPr>
            </w:pPr>
            <w:r>
              <w:rPr>
                <w:rFonts w:ascii="Calibri" w:hAnsi="Calibri" w:cs="Calibri"/>
                <w:color w:val="000000"/>
                <w:sz w:val="20"/>
                <w:szCs w:val="20"/>
              </w:rPr>
              <w:t>Величина аванса / Активы</w:t>
            </w:r>
          </w:p>
        </w:tc>
        <w:tc>
          <w:tcPr>
            <w:tcW w:w="882" w:type="dxa"/>
            <w:tcBorders>
              <w:top w:val="nil"/>
              <w:left w:val="nil"/>
              <w:bottom w:val="single" w:sz="8" w:space="0" w:color="auto"/>
              <w:right w:val="single" w:sz="8" w:space="0" w:color="auto"/>
            </w:tcBorders>
            <w:shd w:val="clear" w:color="auto" w:fill="auto"/>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1.4 и более</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1,2</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1</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0,8</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0,6</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0,46</w:t>
            </w:r>
          </w:p>
        </w:tc>
        <w:tc>
          <w:tcPr>
            <w:tcW w:w="713"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lang w:val="en-US"/>
              </w:rPr>
              <w:t>0,33</w:t>
            </w:r>
          </w:p>
        </w:tc>
        <w:tc>
          <w:tcPr>
            <w:tcW w:w="592"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0,2</w:t>
            </w:r>
          </w:p>
        </w:tc>
        <w:tc>
          <w:tcPr>
            <w:tcW w:w="823"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0,15</w:t>
            </w:r>
          </w:p>
        </w:tc>
        <w:tc>
          <w:tcPr>
            <w:tcW w:w="754" w:type="dxa"/>
            <w:tcBorders>
              <w:top w:val="nil"/>
              <w:left w:val="nil"/>
              <w:bottom w:val="single" w:sz="8" w:space="0" w:color="auto"/>
              <w:right w:val="single" w:sz="8" w:space="0" w:color="auto"/>
            </w:tcBorders>
            <w:shd w:val="clear" w:color="auto" w:fill="auto"/>
            <w:noWrap/>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0,1</w:t>
            </w:r>
          </w:p>
        </w:tc>
        <w:tc>
          <w:tcPr>
            <w:tcW w:w="996" w:type="dxa"/>
            <w:tcBorders>
              <w:top w:val="nil"/>
              <w:left w:val="nil"/>
              <w:bottom w:val="single" w:sz="8" w:space="0" w:color="auto"/>
              <w:right w:val="single" w:sz="8" w:space="0" w:color="auto"/>
            </w:tcBorders>
            <w:shd w:val="clear" w:color="auto" w:fill="auto"/>
            <w:vAlign w:val="center"/>
          </w:tcPr>
          <w:p w:rsidR="00EB2DE4" w:rsidRDefault="00EB2DE4" w:rsidP="00C162FA">
            <w:pPr>
              <w:jc w:val="center"/>
              <w:rPr>
                <w:rFonts w:ascii="Calibri" w:hAnsi="Calibri" w:cs="Calibri"/>
                <w:color w:val="000000"/>
                <w:sz w:val="20"/>
                <w:szCs w:val="20"/>
              </w:rPr>
            </w:pPr>
            <w:r>
              <w:rPr>
                <w:rFonts w:ascii="Calibri" w:hAnsi="Calibri" w:cs="Calibri"/>
                <w:color w:val="000000"/>
                <w:sz w:val="20"/>
                <w:szCs w:val="20"/>
              </w:rPr>
              <w:t>0.05 и менее</w:t>
            </w:r>
          </w:p>
        </w:tc>
      </w:tr>
    </w:tbl>
    <w:p w:rsidR="00EB2DE4" w:rsidRPr="00E901F5" w:rsidRDefault="00EB2DE4" w:rsidP="00EB2DE4">
      <w:pPr>
        <w:pStyle w:val="1"/>
        <w:numPr>
          <w:ilvl w:val="0"/>
          <w:numId w:val="5"/>
        </w:numPr>
        <w:tabs>
          <w:tab w:val="left" w:pos="540"/>
        </w:tabs>
        <w:spacing w:after="240"/>
        <w:ind w:left="357" w:hanging="357"/>
        <w:jc w:val="both"/>
        <w:rPr>
          <w:sz w:val="24"/>
          <w:szCs w:val="24"/>
        </w:rPr>
      </w:pPr>
      <w:bookmarkStart w:id="67" w:name="_Toc370229411"/>
      <w:bookmarkStart w:id="68" w:name="_Toc322961182"/>
      <w:bookmarkStart w:id="69" w:name="_Toc326066017"/>
      <w:bookmarkStart w:id="70" w:name="_Toc326066287"/>
      <w:bookmarkStart w:id="71" w:name="_Toc326067318"/>
      <w:bookmarkStart w:id="72" w:name="_Toc370295576"/>
      <w:bookmarkEnd w:id="67"/>
      <w:r>
        <w:rPr>
          <w:sz w:val="24"/>
          <w:szCs w:val="24"/>
        </w:rPr>
        <w:t xml:space="preserve">Весовые коэффициенты и формирование </w:t>
      </w:r>
      <w:bookmarkEnd w:id="68"/>
      <w:bookmarkEnd w:id="69"/>
      <w:bookmarkEnd w:id="70"/>
      <w:bookmarkEnd w:id="71"/>
      <w:r>
        <w:rPr>
          <w:sz w:val="24"/>
          <w:szCs w:val="24"/>
        </w:rPr>
        <w:t>первичной оценки</w:t>
      </w:r>
      <w:bookmarkEnd w:id="72"/>
    </w:p>
    <w:p w:rsidR="00EB2DE4" w:rsidRPr="009B53D2"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Pr>
          <w:rFonts w:ascii="Arial" w:hAnsi="Arial" w:cs="Arial"/>
        </w:rPr>
        <w:t xml:space="preserve">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предпоследний и последний завершенные финансовые годы, а также последняя отчетная дата незавершенного финансового года*. 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7 </w:t>
      </w:r>
      <w:r w:rsidRPr="009B53D2">
        <w:rPr>
          <w:rFonts w:ascii="Arial" w:hAnsi="Arial" w:cs="Arial"/>
        </w:rPr>
        <w:t>настоящей методики.</w:t>
      </w:r>
    </w:p>
    <w:p w:rsidR="00EB2DE4" w:rsidRPr="009B53D2" w:rsidRDefault="00EB2DE4" w:rsidP="00EB2DE4">
      <w:pPr>
        <w:spacing w:before="240" w:after="120"/>
        <w:ind w:left="425"/>
        <w:jc w:val="right"/>
        <w:rPr>
          <w:rFonts w:ascii="Arial" w:hAnsi="Arial" w:cs="Arial"/>
        </w:rPr>
      </w:pPr>
      <w:r w:rsidRPr="009B53D2">
        <w:rPr>
          <w:rFonts w:ascii="Arial" w:hAnsi="Arial" w:cs="Arial"/>
        </w:rPr>
        <w:t>Таблица 7. Весовые коэффициенты отчетных дат.</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1"/>
        <w:gridCol w:w="2882"/>
        <w:gridCol w:w="3172"/>
      </w:tblGrid>
      <w:tr w:rsidR="00EB2DE4" w:rsidRPr="009B53D2" w:rsidTr="00C162FA">
        <w:trPr>
          <w:trHeight w:val="300"/>
        </w:trPr>
        <w:tc>
          <w:tcPr>
            <w:tcW w:w="3591" w:type="dxa"/>
            <w:shd w:val="clear" w:color="000000" w:fill="F2F2F2"/>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Предпоследний завершенный финансовый год</w:t>
            </w:r>
          </w:p>
        </w:tc>
        <w:tc>
          <w:tcPr>
            <w:tcW w:w="2882" w:type="dxa"/>
            <w:shd w:val="clear" w:color="000000" w:fill="F2F2F2"/>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Последний завершенный финансовый год</w:t>
            </w:r>
          </w:p>
        </w:tc>
        <w:tc>
          <w:tcPr>
            <w:tcW w:w="3172" w:type="dxa"/>
            <w:shd w:val="clear" w:color="000000" w:fill="F2F2F2"/>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Последняя отчетная дата незавершенного финансового года*</w:t>
            </w:r>
          </w:p>
        </w:tc>
      </w:tr>
      <w:tr w:rsidR="00EB2DE4" w:rsidRPr="009B53D2" w:rsidTr="00C162FA">
        <w:trPr>
          <w:trHeight w:val="300"/>
        </w:trPr>
        <w:tc>
          <w:tcPr>
            <w:tcW w:w="3591"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25%</w:t>
            </w:r>
          </w:p>
        </w:tc>
        <w:tc>
          <w:tcPr>
            <w:tcW w:w="2882"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50%</w:t>
            </w:r>
          </w:p>
        </w:tc>
        <w:tc>
          <w:tcPr>
            <w:tcW w:w="3172"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25%</w:t>
            </w:r>
          </w:p>
        </w:tc>
      </w:tr>
      <w:tr w:rsidR="00EB2DE4" w:rsidRPr="009B53D2" w:rsidTr="00C162FA">
        <w:trPr>
          <w:trHeight w:val="300"/>
        </w:trPr>
        <w:tc>
          <w:tcPr>
            <w:tcW w:w="3591"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33,3%</w:t>
            </w:r>
          </w:p>
        </w:tc>
        <w:tc>
          <w:tcPr>
            <w:tcW w:w="2882"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66,7%</w:t>
            </w:r>
          </w:p>
        </w:tc>
        <w:tc>
          <w:tcPr>
            <w:tcW w:w="3172" w:type="dxa"/>
            <w:shd w:val="clear" w:color="000000" w:fill="FFE5E5"/>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отсутствует</w:t>
            </w:r>
          </w:p>
        </w:tc>
      </w:tr>
      <w:tr w:rsidR="00EB2DE4" w:rsidRPr="009B53D2" w:rsidTr="00C162FA">
        <w:trPr>
          <w:trHeight w:val="300"/>
        </w:trPr>
        <w:tc>
          <w:tcPr>
            <w:tcW w:w="3591" w:type="dxa"/>
            <w:shd w:val="clear" w:color="000000" w:fill="FFE5E5"/>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отсутствует</w:t>
            </w:r>
          </w:p>
        </w:tc>
        <w:tc>
          <w:tcPr>
            <w:tcW w:w="2882"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66,7%</w:t>
            </w:r>
          </w:p>
        </w:tc>
        <w:tc>
          <w:tcPr>
            <w:tcW w:w="3172"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33,3%</w:t>
            </w:r>
          </w:p>
        </w:tc>
      </w:tr>
      <w:tr w:rsidR="00EB2DE4" w:rsidRPr="009B53D2" w:rsidTr="00C162FA">
        <w:trPr>
          <w:trHeight w:val="300"/>
        </w:trPr>
        <w:tc>
          <w:tcPr>
            <w:tcW w:w="3591" w:type="dxa"/>
            <w:shd w:val="clear" w:color="000000" w:fill="FFE5E5"/>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отсутствует</w:t>
            </w:r>
          </w:p>
        </w:tc>
        <w:tc>
          <w:tcPr>
            <w:tcW w:w="2882" w:type="dxa"/>
            <w:shd w:val="clear" w:color="000000" w:fill="FFE5E5"/>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отсутствует</w:t>
            </w:r>
          </w:p>
        </w:tc>
        <w:tc>
          <w:tcPr>
            <w:tcW w:w="3172" w:type="dxa"/>
            <w:shd w:val="clear" w:color="auto" w:fill="auto"/>
            <w:noWrap/>
            <w:vAlign w:val="center"/>
          </w:tcPr>
          <w:p w:rsidR="00EB2DE4" w:rsidRPr="009B53D2" w:rsidRDefault="00EB2DE4" w:rsidP="00C162FA">
            <w:pPr>
              <w:jc w:val="center"/>
              <w:rPr>
                <w:rFonts w:ascii="Arial" w:hAnsi="Arial" w:cs="Arial"/>
                <w:color w:val="000000"/>
              </w:rPr>
            </w:pPr>
            <w:r w:rsidRPr="009B53D2">
              <w:rPr>
                <w:rFonts w:ascii="Arial" w:hAnsi="Arial" w:cs="Arial"/>
                <w:color w:val="000000"/>
              </w:rPr>
              <w:t>100%</w:t>
            </w:r>
          </w:p>
        </w:tc>
      </w:tr>
    </w:tbl>
    <w:p w:rsidR="00EB2DE4" w:rsidRPr="00C057C5" w:rsidRDefault="00EB2DE4" w:rsidP="00EB2DE4">
      <w:pPr>
        <w:spacing w:before="120" w:after="120"/>
        <w:jc w:val="both"/>
        <w:rPr>
          <w:rFonts w:ascii="Arial" w:hAnsi="Arial" w:cs="Arial"/>
          <w:i/>
          <w:sz w:val="20"/>
          <w:szCs w:val="20"/>
        </w:rPr>
      </w:pPr>
      <w:r w:rsidRPr="009B53D2">
        <w:rPr>
          <w:rFonts w:ascii="Arial" w:hAnsi="Arial" w:cs="Arial"/>
          <w:i/>
        </w:rPr>
        <w:lastRenderedPageBreak/>
        <w:t>* Учитывая, что составление промежуточной (по полугодиям и/или ежеквартальной)</w:t>
      </w:r>
      <w:r w:rsidRPr="00C057C5">
        <w:rPr>
          <w:rFonts w:ascii="Arial" w:hAnsi="Arial" w:cs="Arial"/>
          <w:i/>
          <w:sz w:val="20"/>
          <w:szCs w:val="20"/>
        </w:rPr>
        <w:t xml:space="preserve"> бухгалтерской отчетности не является обязательным</w:t>
      </w:r>
      <w:r>
        <w:rPr>
          <w:rFonts w:ascii="Arial" w:hAnsi="Arial" w:cs="Arial"/>
          <w:i/>
          <w:sz w:val="20"/>
          <w:szCs w:val="20"/>
        </w:rPr>
        <w:t>,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Pr>
          <w:rFonts w:ascii="Arial" w:hAnsi="Arial" w:cs="Arial"/>
        </w:rPr>
        <w:t>Допускается корректировка весовых коэффициентов отчетных дат по причине недостаточно продолжительной истории существования участника закупочной процедуры, когда данные за прошедшие финансовые года отсутствуют, как это указано в строках 3 и 4 таблицы 7 настоящей методики..</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Pr>
          <w:rFonts w:ascii="Arial" w:hAnsi="Arial" w:cs="Arial"/>
        </w:rPr>
        <w:t xml:space="preserve"> В случае отсутствия данных бухгалтерской отчетности за какой-либо завершенный финансовый год из указанных в т</w:t>
      </w:r>
      <w:r w:rsidRPr="002B5874">
        <w:rPr>
          <w:rFonts w:ascii="Arial" w:hAnsi="Arial" w:cs="Arial"/>
        </w:rPr>
        <w:t>аблиц</w:t>
      </w:r>
      <w:r>
        <w:rPr>
          <w:rFonts w:ascii="Arial" w:hAnsi="Arial" w:cs="Arial"/>
        </w:rPr>
        <w:t>е</w:t>
      </w:r>
      <w:r w:rsidRPr="002B5874">
        <w:rPr>
          <w:rFonts w:ascii="Arial" w:hAnsi="Arial" w:cs="Arial"/>
        </w:rPr>
        <w:t xml:space="preserve"> </w:t>
      </w:r>
      <w:r>
        <w:rPr>
          <w:rFonts w:ascii="Arial" w:hAnsi="Arial" w:cs="Arial"/>
        </w:rPr>
        <w:t>7 настоящей методики по причине не предоставления участником закупочной процедуры или другим причинам, отличным от описанных в п. 8.2. настоящей методики и при отсутствии указанной информации в других источниках (например, Спарк-Интерфакс),,если при этом данный факт существенно влияет на оценку кредитных рисков конкретного участника закупочной процедуры, итоговая оценка для данного участника должна быть понижена экспертом, но не более чем на 1,5 балла по пятибалльной шкале.</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Pr>
          <w:rFonts w:ascii="Arial" w:hAnsi="Arial" w:cs="Arial"/>
        </w:rPr>
        <w:t>Участник закупочной процедуры, не предоставивший бухгалтерскую отчетность, в том числе после осуществления дополнительного запроса, ни на одну из указанных отчетных дат, должен быть отклонен на отборочной стадии.</w:t>
      </w:r>
    </w:p>
    <w:p w:rsidR="00EB2DE4" w:rsidRPr="00DB626A"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0514C4">
        <w:rPr>
          <w:rFonts w:ascii="Arial" w:hAnsi="Arial" w:cs="Arial"/>
        </w:rPr>
        <w:t>После того как каждому финансовому показателю</w:t>
      </w:r>
      <w:r>
        <w:rPr>
          <w:rFonts w:ascii="Arial" w:hAnsi="Arial" w:cs="Arial"/>
        </w:rPr>
        <w:t xml:space="preserve"> (с учетом веса отчетных дат)</w:t>
      </w:r>
      <w:r w:rsidRPr="000514C4">
        <w:rPr>
          <w:rFonts w:ascii="Arial" w:hAnsi="Arial" w:cs="Arial"/>
        </w:rPr>
        <w:t xml:space="preserve">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w:t>
      </w:r>
      <w:r>
        <w:rPr>
          <w:rFonts w:ascii="Arial" w:hAnsi="Arial" w:cs="Arial"/>
        </w:rPr>
        <w:t>овые коэффициенты</w:t>
      </w:r>
      <w:r w:rsidRPr="000514C4">
        <w:rPr>
          <w:rFonts w:ascii="Arial" w:hAnsi="Arial" w:cs="Arial"/>
        </w:rPr>
        <w:t xml:space="preserve"> для каждой группы показателей устан</w:t>
      </w:r>
      <w:r>
        <w:rPr>
          <w:rFonts w:ascii="Arial" w:hAnsi="Arial" w:cs="Arial"/>
        </w:rPr>
        <w:t>овлены в т</w:t>
      </w:r>
      <w:r w:rsidRPr="00DB626A">
        <w:rPr>
          <w:rFonts w:ascii="Arial" w:hAnsi="Arial" w:cs="Arial"/>
        </w:rPr>
        <w:t>аблиц</w:t>
      </w:r>
      <w:r>
        <w:rPr>
          <w:rFonts w:ascii="Arial" w:hAnsi="Arial" w:cs="Arial"/>
        </w:rPr>
        <w:t>е</w:t>
      </w:r>
      <w:r w:rsidRPr="00DB626A">
        <w:rPr>
          <w:rFonts w:ascii="Arial" w:hAnsi="Arial" w:cs="Arial"/>
        </w:rPr>
        <w:t xml:space="preserve"> </w:t>
      </w:r>
      <w:r>
        <w:rPr>
          <w:rFonts w:ascii="Arial" w:hAnsi="Arial" w:cs="Arial"/>
        </w:rPr>
        <w:t>7 настоящей методики</w:t>
      </w:r>
      <w:r w:rsidRPr="00DB626A">
        <w:rPr>
          <w:rFonts w:ascii="Arial" w:hAnsi="Arial" w:cs="Arial"/>
        </w:rPr>
        <w:t xml:space="preserve">. </w:t>
      </w:r>
      <w:r>
        <w:rPr>
          <w:rFonts w:ascii="Arial" w:hAnsi="Arial" w:cs="Arial"/>
        </w:rPr>
        <w:t>О</w:t>
      </w:r>
      <w:r w:rsidRPr="00DB626A">
        <w:rPr>
          <w:rFonts w:ascii="Arial" w:hAnsi="Arial" w:cs="Arial"/>
        </w:rPr>
        <w:t>сновным результатом применения балльно-весового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ранжирования предложений участников закупочной процедуры.</w:t>
      </w:r>
    </w:p>
    <w:p w:rsidR="00EB2DE4" w:rsidRPr="00D379AD" w:rsidRDefault="00EB2DE4" w:rsidP="00EB2DE4">
      <w:pPr>
        <w:spacing w:before="240" w:after="120"/>
        <w:ind w:left="425"/>
        <w:jc w:val="right"/>
        <w:rPr>
          <w:rFonts w:ascii="Arial" w:hAnsi="Arial" w:cs="Arial"/>
        </w:rPr>
      </w:pPr>
      <w:r>
        <w:rPr>
          <w:rFonts w:ascii="Arial" w:hAnsi="Arial" w:cs="Arial"/>
        </w:rPr>
        <w:t>Таблица 8. Весовые коэффициенты.</w:t>
      </w:r>
    </w:p>
    <w:tbl>
      <w:tblPr>
        <w:tblW w:w="98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3028"/>
        <w:gridCol w:w="750"/>
        <w:gridCol w:w="2528"/>
        <w:gridCol w:w="1252"/>
        <w:gridCol w:w="1365"/>
      </w:tblGrid>
      <w:tr w:rsidR="00EB2DE4" w:rsidTr="00C162FA">
        <w:trPr>
          <w:trHeight w:val="2235"/>
        </w:trPr>
        <w:tc>
          <w:tcPr>
            <w:tcW w:w="915" w:type="dxa"/>
            <w:shd w:val="clear" w:color="auto" w:fill="D9D9D9"/>
            <w:noWrap/>
            <w:vAlign w:val="bottom"/>
          </w:tcPr>
          <w:p w:rsidR="00EB2DE4" w:rsidRDefault="00EB2DE4" w:rsidP="00C162FA">
            <w:pPr>
              <w:rPr>
                <w:rFonts w:ascii="Calibri" w:hAnsi="Calibri" w:cs="Calibri"/>
                <w:color w:val="000000"/>
                <w:sz w:val="22"/>
                <w:szCs w:val="22"/>
              </w:rPr>
            </w:pPr>
            <w:r>
              <w:rPr>
                <w:rFonts w:ascii="Calibri" w:hAnsi="Calibri" w:cs="Calibri"/>
                <w:color w:val="000000"/>
                <w:sz w:val="22"/>
                <w:szCs w:val="22"/>
              </w:rPr>
              <w:t> </w:t>
            </w:r>
          </w:p>
        </w:tc>
        <w:tc>
          <w:tcPr>
            <w:tcW w:w="3028" w:type="dxa"/>
            <w:shd w:val="clear" w:color="auto" w:fill="D9D9D9"/>
            <w:noWrap/>
            <w:vAlign w:val="bottom"/>
          </w:tcPr>
          <w:p w:rsidR="00EB2DE4" w:rsidRDefault="00EB2DE4" w:rsidP="00C162FA">
            <w:pPr>
              <w:rPr>
                <w:rFonts w:ascii="Calibri" w:hAnsi="Calibri" w:cs="Calibri"/>
                <w:color w:val="000000"/>
                <w:sz w:val="22"/>
                <w:szCs w:val="22"/>
              </w:rPr>
            </w:pPr>
            <w:r>
              <w:rPr>
                <w:rFonts w:ascii="Calibri" w:hAnsi="Calibri" w:cs="Calibri"/>
                <w:color w:val="000000"/>
                <w:sz w:val="22"/>
                <w:szCs w:val="22"/>
              </w:rPr>
              <w:t> </w:t>
            </w:r>
          </w:p>
        </w:tc>
        <w:tc>
          <w:tcPr>
            <w:tcW w:w="750" w:type="dxa"/>
            <w:shd w:val="clear" w:color="auto" w:fill="D9D9D9"/>
            <w:textDirection w:val="btLr"/>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Вес группы</w:t>
            </w:r>
          </w:p>
        </w:tc>
        <w:tc>
          <w:tcPr>
            <w:tcW w:w="2528" w:type="dxa"/>
            <w:shd w:val="clear" w:color="auto" w:fill="D9D9D9"/>
            <w:noWrap/>
            <w:vAlign w:val="center"/>
          </w:tcPr>
          <w:p w:rsidR="00EB2DE4" w:rsidRPr="00714555" w:rsidRDefault="00EB2DE4" w:rsidP="00C162FA">
            <w:pPr>
              <w:jc w:val="center"/>
              <w:rPr>
                <w:rFonts w:ascii="Calibri" w:hAnsi="Calibri" w:cs="Calibri"/>
                <w:color w:val="000000"/>
                <w:sz w:val="22"/>
                <w:szCs w:val="22"/>
              </w:rPr>
            </w:pPr>
            <w:r w:rsidRPr="00714555">
              <w:rPr>
                <w:rFonts w:ascii="Calibri" w:hAnsi="Calibri" w:cs="Calibri"/>
                <w:color w:val="000000"/>
                <w:sz w:val="22"/>
                <w:szCs w:val="22"/>
              </w:rPr>
              <w:t>Показатель</w:t>
            </w:r>
          </w:p>
        </w:tc>
        <w:tc>
          <w:tcPr>
            <w:tcW w:w="1252" w:type="dxa"/>
            <w:shd w:val="clear" w:color="auto" w:fill="D9D9D9"/>
            <w:textDirection w:val="btLr"/>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Вес показателя внутри группы</w:t>
            </w:r>
          </w:p>
        </w:tc>
        <w:tc>
          <w:tcPr>
            <w:tcW w:w="1365" w:type="dxa"/>
            <w:shd w:val="clear" w:color="auto" w:fill="D9D9D9"/>
            <w:textDirection w:val="btLr"/>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Итоговый вес показателя с учетом веса группы показателей</w:t>
            </w:r>
          </w:p>
        </w:tc>
      </w:tr>
      <w:tr w:rsidR="00EB2DE4" w:rsidTr="00C162FA">
        <w:trPr>
          <w:trHeight w:val="600"/>
        </w:trPr>
        <w:tc>
          <w:tcPr>
            <w:tcW w:w="915" w:type="dxa"/>
            <w:vMerge w:val="restart"/>
            <w:shd w:val="clear" w:color="auto" w:fill="auto"/>
            <w:textDirection w:val="btLr"/>
            <w:vAlign w:val="center"/>
          </w:tcPr>
          <w:p w:rsidR="00EB2DE4" w:rsidRPr="00C43626" w:rsidRDefault="00EB2DE4" w:rsidP="00C162FA">
            <w:pPr>
              <w:jc w:val="center"/>
              <w:rPr>
                <w:rFonts w:ascii="Calibri" w:hAnsi="Calibri" w:cs="Calibri"/>
                <w:b/>
                <w:color w:val="000000"/>
                <w:sz w:val="22"/>
                <w:szCs w:val="22"/>
              </w:rPr>
            </w:pPr>
            <w:r w:rsidRPr="00C43626">
              <w:rPr>
                <w:rFonts w:ascii="Calibri" w:hAnsi="Calibri" w:cs="Calibri"/>
                <w:b/>
                <w:color w:val="000000"/>
                <w:sz w:val="22"/>
                <w:szCs w:val="22"/>
              </w:rPr>
              <w:t>Группа финансовых показателей</w:t>
            </w:r>
          </w:p>
        </w:tc>
        <w:tc>
          <w:tcPr>
            <w:tcW w:w="3028" w:type="dxa"/>
            <w:vMerge w:val="restart"/>
            <w:shd w:val="clear" w:color="auto" w:fill="auto"/>
          </w:tcPr>
          <w:p w:rsidR="00EB2DE4" w:rsidRDefault="00EB2DE4" w:rsidP="00C162FA">
            <w:pPr>
              <w:rPr>
                <w:rFonts w:ascii="Calibri" w:hAnsi="Calibri" w:cs="Calibri"/>
                <w:color w:val="000000"/>
                <w:sz w:val="22"/>
                <w:szCs w:val="22"/>
              </w:rPr>
            </w:pPr>
            <w:r w:rsidRPr="00C43626">
              <w:rPr>
                <w:rFonts w:ascii="Calibri" w:hAnsi="Calibri" w:cs="Calibri"/>
                <w:b/>
                <w:color w:val="000000"/>
                <w:sz w:val="22"/>
                <w:szCs w:val="22"/>
              </w:rPr>
              <w:t>1 группа</w:t>
            </w:r>
            <w:r>
              <w:rPr>
                <w:rFonts w:ascii="Calibri" w:hAnsi="Calibri" w:cs="Calibri"/>
                <w:color w:val="000000"/>
                <w:sz w:val="22"/>
                <w:szCs w:val="22"/>
              </w:rPr>
              <w:t xml:space="preserve"> Коэффициенты, характеризующие способность компании расплачиваться по финансовым обязательствам и устойчивость:</w:t>
            </w:r>
          </w:p>
        </w:tc>
        <w:tc>
          <w:tcPr>
            <w:tcW w:w="750" w:type="dxa"/>
            <w:vMerge w:val="restart"/>
            <w:shd w:val="clear" w:color="auto" w:fill="auto"/>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0,30</w:t>
            </w: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Доля привлеченных средств в пассивах</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0,15</w:t>
            </w:r>
          </w:p>
        </w:tc>
      </w:tr>
      <w:tr w:rsidR="00EB2DE4" w:rsidTr="00C162FA">
        <w:trPr>
          <w:trHeight w:val="600"/>
        </w:trPr>
        <w:tc>
          <w:tcPr>
            <w:tcW w:w="915" w:type="dxa"/>
            <w:vMerge/>
            <w:vAlign w:val="center"/>
          </w:tcPr>
          <w:p w:rsidR="00EB2DE4" w:rsidRDefault="00EB2DE4" w:rsidP="00C162FA">
            <w:pPr>
              <w:jc w:val="center"/>
              <w:rPr>
                <w:rFonts w:ascii="Calibri" w:hAnsi="Calibri" w:cs="Calibri"/>
                <w:color w:val="000000"/>
                <w:sz w:val="22"/>
                <w:szCs w:val="22"/>
              </w:rPr>
            </w:pPr>
          </w:p>
        </w:tc>
        <w:tc>
          <w:tcPr>
            <w:tcW w:w="3028" w:type="dxa"/>
            <w:vMerge/>
            <w:vAlign w:val="center"/>
          </w:tcPr>
          <w:p w:rsidR="00EB2DE4" w:rsidRDefault="00EB2DE4" w:rsidP="00C162FA">
            <w:pPr>
              <w:rPr>
                <w:rFonts w:ascii="Calibri" w:hAnsi="Calibri" w:cs="Calibri"/>
                <w:color w:val="000000"/>
                <w:sz w:val="22"/>
                <w:szCs w:val="22"/>
              </w:rPr>
            </w:pPr>
          </w:p>
        </w:tc>
        <w:tc>
          <w:tcPr>
            <w:tcW w:w="750" w:type="dxa"/>
            <w:vMerge/>
            <w:vAlign w:val="center"/>
          </w:tcPr>
          <w:p w:rsidR="00EB2DE4" w:rsidRPr="00C43626" w:rsidRDefault="00EB2DE4" w:rsidP="00C162FA">
            <w:pPr>
              <w:jc w:val="center"/>
              <w:rPr>
                <w:rFonts w:ascii="Calibri" w:hAnsi="Calibri" w:cs="Calibri"/>
                <w:color w:val="000000"/>
                <w:sz w:val="22"/>
                <w:szCs w:val="22"/>
              </w:rPr>
            </w:pP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Рентабельность инвестированного капитала</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20%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0,06</w:t>
            </w:r>
          </w:p>
        </w:tc>
      </w:tr>
      <w:tr w:rsidR="00EB2DE4" w:rsidTr="00C162FA">
        <w:trPr>
          <w:trHeight w:val="300"/>
        </w:trPr>
        <w:tc>
          <w:tcPr>
            <w:tcW w:w="915" w:type="dxa"/>
            <w:vMerge/>
            <w:vAlign w:val="center"/>
          </w:tcPr>
          <w:p w:rsidR="00EB2DE4" w:rsidRDefault="00EB2DE4" w:rsidP="00C162FA">
            <w:pPr>
              <w:jc w:val="center"/>
              <w:rPr>
                <w:rFonts w:ascii="Calibri" w:hAnsi="Calibri" w:cs="Calibri"/>
                <w:color w:val="000000"/>
                <w:sz w:val="22"/>
                <w:szCs w:val="22"/>
              </w:rPr>
            </w:pPr>
          </w:p>
        </w:tc>
        <w:tc>
          <w:tcPr>
            <w:tcW w:w="3028" w:type="dxa"/>
            <w:vMerge/>
            <w:vAlign w:val="center"/>
          </w:tcPr>
          <w:p w:rsidR="00EB2DE4" w:rsidRDefault="00EB2DE4" w:rsidP="00C162FA">
            <w:pPr>
              <w:rPr>
                <w:rFonts w:ascii="Calibri" w:hAnsi="Calibri" w:cs="Calibri"/>
                <w:color w:val="000000"/>
                <w:sz w:val="22"/>
                <w:szCs w:val="22"/>
              </w:rPr>
            </w:pPr>
          </w:p>
        </w:tc>
        <w:tc>
          <w:tcPr>
            <w:tcW w:w="750" w:type="dxa"/>
            <w:vMerge/>
            <w:vAlign w:val="center"/>
          </w:tcPr>
          <w:p w:rsidR="00EB2DE4" w:rsidRPr="00C43626" w:rsidRDefault="00EB2DE4" w:rsidP="00C162FA">
            <w:pPr>
              <w:jc w:val="center"/>
              <w:rPr>
                <w:rFonts w:ascii="Calibri" w:hAnsi="Calibri" w:cs="Calibri"/>
                <w:color w:val="000000"/>
                <w:sz w:val="22"/>
                <w:szCs w:val="22"/>
              </w:rPr>
            </w:pP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Долг / EBITDA</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30%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0,09</w:t>
            </w:r>
          </w:p>
        </w:tc>
      </w:tr>
      <w:tr w:rsidR="00EB2DE4" w:rsidTr="00C162FA">
        <w:trPr>
          <w:trHeight w:val="300"/>
        </w:trPr>
        <w:tc>
          <w:tcPr>
            <w:tcW w:w="915" w:type="dxa"/>
            <w:vMerge/>
            <w:vAlign w:val="center"/>
          </w:tcPr>
          <w:p w:rsidR="00EB2DE4" w:rsidRDefault="00EB2DE4" w:rsidP="00C162FA">
            <w:pPr>
              <w:jc w:val="center"/>
              <w:rPr>
                <w:rFonts w:ascii="Calibri" w:hAnsi="Calibri" w:cs="Calibri"/>
                <w:color w:val="000000"/>
                <w:sz w:val="22"/>
                <w:szCs w:val="22"/>
              </w:rPr>
            </w:pPr>
          </w:p>
        </w:tc>
        <w:tc>
          <w:tcPr>
            <w:tcW w:w="3028" w:type="dxa"/>
            <w:vMerge w:val="restart"/>
            <w:shd w:val="clear" w:color="auto" w:fill="auto"/>
          </w:tcPr>
          <w:p w:rsidR="00EB2DE4" w:rsidRDefault="00EB2DE4" w:rsidP="00C162FA">
            <w:pPr>
              <w:rPr>
                <w:rFonts w:ascii="Calibri" w:hAnsi="Calibri" w:cs="Calibri"/>
                <w:color w:val="000000"/>
                <w:sz w:val="22"/>
                <w:szCs w:val="22"/>
              </w:rPr>
            </w:pPr>
            <w:r w:rsidRPr="00C43626">
              <w:rPr>
                <w:rFonts w:ascii="Calibri" w:hAnsi="Calibri" w:cs="Calibri"/>
                <w:b/>
                <w:color w:val="000000"/>
                <w:sz w:val="22"/>
                <w:szCs w:val="22"/>
              </w:rPr>
              <w:t>2 группа</w:t>
            </w:r>
            <w:r>
              <w:rPr>
                <w:rFonts w:ascii="Calibri" w:hAnsi="Calibri" w:cs="Calibri"/>
                <w:color w:val="000000"/>
                <w:sz w:val="22"/>
                <w:szCs w:val="22"/>
              </w:rPr>
              <w:t xml:space="preserve"> Коэффициенты, </w:t>
            </w:r>
            <w:r>
              <w:rPr>
                <w:rFonts w:ascii="Calibri" w:hAnsi="Calibri" w:cs="Calibri"/>
                <w:color w:val="000000"/>
                <w:sz w:val="22"/>
                <w:szCs w:val="22"/>
              </w:rPr>
              <w:lastRenderedPageBreak/>
              <w:t>характеризующие операционную деятельность</w:t>
            </w:r>
          </w:p>
        </w:tc>
        <w:tc>
          <w:tcPr>
            <w:tcW w:w="750" w:type="dxa"/>
            <w:vMerge w:val="restart"/>
            <w:shd w:val="clear" w:color="auto" w:fill="auto"/>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lastRenderedPageBreak/>
              <w:t>0,22</w:t>
            </w:r>
          </w:p>
        </w:tc>
        <w:tc>
          <w:tcPr>
            <w:tcW w:w="2528" w:type="dxa"/>
            <w:shd w:val="clear" w:color="auto" w:fill="auto"/>
          </w:tcPr>
          <w:p w:rsidR="00EB2DE4" w:rsidRPr="00C43626" w:rsidRDefault="00EB2DE4" w:rsidP="00C162FA">
            <w:pPr>
              <w:rPr>
                <w:rFonts w:ascii="Calibri" w:hAnsi="Calibri" w:cs="Calibri"/>
                <w:i/>
                <w:color w:val="000000"/>
                <w:sz w:val="20"/>
                <w:szCs w:val="20"/>
              </w:rPr>
            </w:pPr>
            <w:r>
              <w:rPr>
                <w:rFonts w:ascii="Calibri" w:hAnsi="Calibri" w:cs="Calibri"/>
                <w:i/>
                <w:color w:val="000000"/>
                <w:sz w:val="20"/>
                <w:szCs w:val="20"/>
              </w:rPr>
              <w:t>период оборота</w:t>
            </w:r>
            <w:r w:rsidRPr="00C43626">
              <w:rPr>
                <w:rFonts w:ascii="Calibri" w:hAnsi="Calibri" w:cs="Calibri"/>
                <w:i/>
                <w:color w:val="000000"/>
                <w:sz w:val="20"/>
                <w:szCs w:val="20"/>
              </w:rPr>
              <w:t xml:space="preserve"> </w:t>
            </w:r>
            <w:r>
              <w:rPr>
                <w:rFonts w:ascii="Calibri" w:hAnsi="Calibri" w:cs="Calibri"/>
                <w:i/>
                <w:color w:val="000000"/>
                <w:sz w:val="20"/>
                <w:szCs w:val="20"/>
              </w:rPr>
              <w:lastRenderedPageBreak/>
              <w:t>дебиторской задолженности</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lastRenderedPageBreak/>
              <w:t>30%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0,07</w:t>
            </w:r>
          </w:p>
        </w:tc>
      </w:tr>
      <w:tr w:rsidR="00EB2DE4" w:rsidTr="00C162FA">
        <w:trPr>
          <w:trHeight w:val="300"/>
        </w:trPr>
        <w:tc>
          <w:tcPr>
            <w:tcW w:w="915" w:type="dxa"/>
            <w:vMerge/>
            <w:vAlign w:val="center"/>
          </w:tcPr>
          <w:p w:rsidR="00EB2DE4" w:rsidRDefault="00EB2DE4" w:rsidP="00C162FA">
            <w:pPr>
              <w:jc w:val="center"/>
              <w:rPr>
                <w:rFonts w:ascii="Calibri" w:hAnsi="Calibri" w:cs="Calibri"/>
                <w:color w:val="000000"/>
                <w:sz w:val="22"/>
                <w:szCs w:val="22"/>
              </w:rPr>
            </w:pPr>
          </w:p>
        </w:tc>
        <w:tc>
          <w:tcPr>
            <w:tcW w:w="3028" w:type="dxa"/>
            <w:vMerge/>
            <w:vAlign w:val="center"/>
          </w:tcPr>
          <w:p w:rsidR="00EB2DE4" w:rsidRDefault="00EB2DE4" w:rsidP="00C162FA">
            <w:pPr>
              <w:rPr>
                <w:rFonts w:ascii="Calibri" w:hAnsi="Calibri" w:cs="Calibri"/>
                <w:color w:val="000000"/>
                <w:sz w:val="22"/>
                <w:szCs w:val="22"/>
              </w:rPr>
            </w:pPr>
          </w:p>
        </w:tc>
        <w:tc>
          <w:tcPr>
            <w:tcW w:w="750" w:type="dxa"/>
            <w:vMerge/>
            <w:vAlign w:val="center"/>
          </w:tcPr>
          <w:p w:rsidR="00EB2DE4" w:rsidRPr="00C43626" w:rsidRDefault="00EB2DE4" w:rsidP="00C162FA">
            <w:pPr>
              <w:jc w:val="center"/>
              <w:rPr>
                <w:rFonts w:ascii="Calibri" w:hAnsi="Calibri" w:cs="Calibri"/>
                <w:color w:val="000000"/>
                <w:sz w:val="22"/>
                <w:szCs w:val="22"/>
              </w:rPr>
            </w:pPr>
          </w:p>
        </w:tc>
        <w:tc>
          <w:tcPr>
            <w:tcW w:w="2528" w:type="dxa"/>
            <w:shd w:val="clear" w:color="auto" w:fill="auto"/>
          </w:tcPr>
          <w:p w:rsidR="00EB2DE4" w:rsidRPr="00C43626" w:rsidRDefault="00EB2DE4" w:rsidP="00C162FA">
            <w:pPr>
              <w:rPr>
                <w:rFonts w:ascii="Calibri" w:hAnsi="Calibri" w:cs="Calibri"/>
                <w:i/>
                <w:color w:val="000000"/>
                <w:sz w:val="20"/>
                <w:szCs w:val="20"/>
              </w:rPr>
            </w:pPr>
            <w:r>
              <w:rPr>
                <w:rFonts w:ascii="Calibri" w:hAnsi="Calibri" w:cs="Calibri"/>
                <w:i/>
                <w:color w:val="000000"/>
                <w:sz w:val="20"/>
                <w:szCs w:val="20"/>
              </w:rPr>
              <w:t>период оборота кредиторской задолженности</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70%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0,15</w:t>
            </w:r>
          </w:p>
        </w:tc>
      </w:tr>
      <w:tr w:rsidR="00EB2DE4" w:rsidTr="00C162FA">
        <w:trPr>
          <w:trHeight w:val="300"/>
        </w:trPr>
        <w:tc>
          <w:tcPr>
            <w:tcW w:w="915" w:type="dxa"/>
            <w:vMerge/>
            <w:vAlign w:val="center"/>
          </w:tcPr>
          <w:p w:rsidR="00EB2DE4" w:rsidRDefault="00EB2DE4" w:rsidP="00C162FA">
            <w:pPr>
              <w:jc w:val="center"/>
              <w:rPr>
                <w:rFonts w:ascii="Calibri" w:hAnsi="Calibri" w:cs="Calibri"/>
                <w:color w:val="000000"/>
                <w:sz w:val="22"/>
                <w:szCs w:val="22"/>
              </w:rPr>
            </w:pPr>
          </w:p>
        </w:tc>
        <w:tc>
          <w:tcPr>
            <w:tcW w:w="3028" w:type="dxa"/>
            <w:vMerge w:val="restart"/>
            <w:shd w:val="clear" w:color="auto" w:fill="auto"/>
          </w:tcPr>
          <w:p w:rsidR="00EB2DE4" w:rsidRDefault="00EB2DE4" w:rsidP="00C162FA">
            <w:pPr>
              <w:rPr>
                <w:rFonts w:ascii="Calibri" w:hAnsi="Calibri" w:cs="Calibri"/>
                <w:color w:val="000000"/>
                <w:sz w:val="22"/>
                <w:szCs w:val="22"/>
              </w:rPr>
            </w:pPr>
            <w:r w:rsidRPr="00C43626">
              <w:rPr>
                <w:rFonts w:ascii="Calibri" w:hAnsi="Calibri" w:cs="Calibri"/>
                <w:b/>
                <w:color w:val="000000"/>
                <w:sz w:val="22"/>
                <w:szCs w:val="22"/>
              </w:rPr>
              <w:t>3 группа</w:t>
            </w:r>
            <w:r>
              <w:rPr>
                <w:rFonts w:ascii="Calibri" w:hAnsi="Calibri" w:cs="Calibri"/>
                <w:color w:val="000000"/>
                <w:sz w:val="22"/>
                <w:szCs w:val="22"/>
              </w:rPr>
              <w:t xml:space="preserve"> Коэффициенты, характеризующие ликвидность</w:t>
            </w:r>
          </w:p>
        </w:tc>
        <w:tc>
          <w:tcPr>
            <w:tcW w:w="750" w:type="dxa"/>
            <w:vMerge w:val="restart"/>
            <w:shd w:val="clear" w:color="auto" w:fill="auto"/>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0,13</w:t>
            </w: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 xml:space="preserve">Абсолютная ликвидность </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0,065</w:t>
            </w:r>
          </w:p>
        </w:tc>
      </w:tr>
      <w:tr w:rsidR="00EB2DE4" w:rsidTr="00C162FA">
        <w:trPr>
          <w:trHeight w:val="900"/>
        </w:trPr>
        <w:tc>
          <w:tcPr>
            <w:tcW w:w="915" w:type="dxa"/>
            <w:vMerge/>
            <w:vAlign w:val="center"/>
          </w:tcPr>
          <w:p w:rsidR="00EB2DE4" w:rsidRDefault="00EB2DE4" w:rsidP="00C162FA">
            <w:pPr>
              <w:jc w:val="center"/>
              <w:rPr>
                <w:rFonts w:ascii="Calibri" w:hAnsi="Calibri" w:cs="Calibri"/>
                <w:color w:val="000000"/>
                <w:sz w:val="22"/>
                <w:szCs w:val="22"/>
              </w:rPr>
            </w:pPr>
          </w:p>
        </w:tc>
        <w:tc>
          <w:tcPr>
            <w:tcW w:w="3028" w:type="dxa"/>
            <w:vMerge/>
            <w:vAlign w:val="center"/>
          </w:tcPr>
          <w:p w:rsidR="00EB2DE4" w:rsidRDefault="00EB2DE4" w:rsidP="00C162FA">
            <w:pPr>
              <w:rPr>
                <w:rFonts w:ascii="Calibri" w:hAnsi="Calibri" w:cs="Calibri"/>
                <w:color w:val="000000"/>
                <w:sz w:val="22"/>
                <w:szCs w:val="22"/>
              </w:rPr>
            </w:pPr>
          </w:p>
        </w:tc>
        <w:tc>
          <w:tcPr>
            <w:tcW w:w="750" w:type="dxa"/>
            <w:vMerge/>
            <w:vAlign w:val="center"/>
          </w:tcPr>
          <w:p w:rsidR="00EB2DE4" w:rsidRPr="00C43626" w:rsidRDefault="00EB2DE4" w:rsidP="00C162FA">
            <w:pPr>
              <w:jc w:val="center"/>
              <w:rPr>
                <w:rFonts w:ascii="Calibri" w:hAnsi="Calibri" w:cs="Calibri"/>
                <w:color w:val="000000"/>
                <w:sz w:val="22"/>
                <w:szCs w:val="22"/>
              </w:rPr>
            </w:pP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 xml:space="preserve">Покрытие внеоборотных активов долгосрочными источниками финансирования </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0,065</w:t>
            </w:r>
          </w:p>
        </w:tc>
      </w:tr>
      <w:tr w:rsidR="00EB2DE4" w:rsidTr="00C162FA">
        <w:trPr>
          <w:trHeight w:val="705"/>
        </w:trPr>
        <w:tc>
          <w:tcPr>
            <w:tcW w:w="915" w:type="dxa"/>
            <w:vMerge w:val="restart"/>
            <w:shd w:val="clear" w:color="auto" w:fill="auto"/>
            <w:textDirection w:val="btLr"/>
            <w:vAlign w:val="center"/>
          </w:tcPr>
          <w:p w:rsidR="00EB2DE4" w:rsidRPr="00C43626" w:rsidRDefault="00EB2DE4" w:rsidP="00C162FA">
            <w:pPr>
              <w:jc w:val="center"/>
              <w:rPr>
                <w:rFonts w:ascii="Calibri" w:hAnsi="Calibri" w:cs="Calibri"/>
                <w:b/>
                <w:color w:val="000000"/>
                <w:sz w:val="22"/>
                <w:szCs w:val="22"/>
              </w:rPr>
            </w:pPr>
            <w:r w:rsidRPr="00C43626">
              <w:rPr>
                <w:rFonts w:ascii="Calibri" w:hAnsi="Calibri" w:cs="Calibri"/>
                <w:b/>
                <w:color w:val="000000"/>
                <w:sz w:val="22"/>
                <w:szCs w:val="22"/>
              </w:rPr>
              <w:t>Группа показателей бизнес-риска</w:t>
            </w:r>
          </w:p>
        </w:tc>
        <w:tc>
          <w:tcPr>
            <w:tcW w:w="3028" w:type="dxa"/>
            <w:vMerge w:val="restart"/>
            <w:shd w:val="clear" w:color="auto" w:fill="auto"/>
          </w:tcPr>
          <w:p w:rsidR="00EB2DE4" w:rsidRDefault="00EB2DE4" w:rsidP="00C162FA">
            <w:pPr>
              <w:rPr>
                <w:rFonts w:ascii="Calibri" w:hAnsi="Calibri" w:cs="Calibri"/>
                <w:color w:val="000000"/>
                <w:sz w:val="22"/>
                <w:szCs w:val="22"/>
              </w:rPr>
            </w:pPr>
            <w:r w:rsidRPr="00C43626">
              <w:rPr>
                <w:rFonts w:ascii="Calibri" w:hAnsi="Calibri" w:cs="Calibri"/>
                <w:b/>
                <w:color w:val="000000"/>
                <w:sz w:val="22"/>
                <w:szCs w:val="22"/>
              </w:rPr>
              <w:t>4 группа</w:t>
            </w:r>
            <w:r>
              <w:rPr>
                <w:rFonts w:ascii="Calibri" w:hAnsi="Calibri" w:cs="Calibri"/>
                <w:color w:val="000000"/>
                <w:sz w:val="22"/>
                <w:szCs w:val="22"/>
              </w:rPr>
              <w:t xml:space="preserve"> Соответствие масштабов деятельности участника закупочной процедуры сумме закупки (в сравнении с активами, с выручкой)</w:t>
            </w:r>
          </w:p>
        </w:tc>
        <w:tc>
          <w:tcPr>
            <w:tcW w:w="750" w:type="dxa"/>
            <w:vMerge w:val="restart"/>
            <w:shd w:val="clear" w:color="auto" w:fill="auto"/>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0,38</w:t>
            </w: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Сумма закупки / Выручка</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0,19</w:t>
            </w:r>
          </w:p>
        </w:tc>
      </w:tr>
      <w:tr w:rsidR="00EB2DE4" w:rsidTr="00C162FA">
        <w:trPr>
          <w:trHeight w:val="705"/>
        </w:trPr>
        <w:tc>
          <w:tcPr>
            <w:tcW w:w="915" w:type="dxa"/>
            <w:vMerge/>
            <w:vAlign w:val="center"/>
          </w:tcPr>
          <w:p w:rsidR="00EB2DE4" w:rsidRDefault="00EB2DE4" w:rsidP="00C162FA">
            <w:pPr>
              <w:rPr>
                <w:rFonts w:ascii="Calibri" w:hAnsi="Calibri" w:cs="Calibri"/>
                <w:color w:val="000000"/>
                <w:sz w:val="22"/>
                <w:szCs w:val="22"/>
              </w:rPr>
            </w:pPr>
          </w:p>
        </w:tc>
        <w:tc>
          <w:tcPr>
            <w:tcW w:w="3028" w:type="dxa"/>
            <w:vMerge/>
            <w:vAlign w:val="center"/>
          </w:tcPr>
          <w:p w:rsidR="00EB2DE4" w:rsidRDefault="00EB2DE4" w:rsidP="00C162FA">
            <w:pPr>
              <w:rPr>
                <w:rFonts w:ascii="Calibri" w:hAnsi="Calibri" w:cs="Calibri"/>
                <w:color w:val="000000"/>
                <w:sz w:val="22"/>
                <w:szCs w:val="22"/>
              </w:rPr>
            </w:pPr>
          </w:p>
        </w:tc>
        <w:tc>
          <w:tcPr>
            <w:tcW w:w="750" w:type="dxa"/>
            <w:vMerge/>
            <w:vAlign w:val="center"/>
          </w:tcPr>
          <w:p w:rsidR="00EB2DE4" w:rsidRPr="00C43626" w:rsidRDefault="00EB2DE4" w:rsidP="00C162FA">
            <w:pPr>
              <w:jc w:val="center"/>
              <w:rPr>
                <w:rFonts w:ascii="Calibri" w:hAnsi="Calibri" w:cs="Calibri"/>
                <w:color w:val="000000"/>
                <w:sz w:val="22"/>
                <w:szCs w:val="22"/>
              </w:rPr>
            </w:pP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Сумма закупки / Активы</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50%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0,19</w:t>
            </w:r>
          </w:p>
        </w:tc>
      </w:tr>
      <w:tr w:rsidR="00EB2DE4" w:rsidTr="00C162FA">
        <w:trPr>
          <w:trHeight w:val="685"/>
        </w:trPr>
        <w:tc>
          <w:tcPr>
            <w:tcW w:w="915" w:type="dxa"/>
            <w:vMerge/>
            <w:vAlign w:val="center"/>
          </w:tcPr>
          <w:p w:rsidR="00EB2DE4" w:rsidRDefault="00EB2DE4" w:rsidP="00C162FA">
            <w:pPr>
              <w:rPr>
                <w:rFonts w:ascii="Calibri" w:hAnsi="Calibri" w:cs="Calibri"/>
                <w:color w:val="000000"/>
                <w:sz w:val="22"/>
                <w:szCs w:val="22"/>
              </w:rPr>
            </w:pPr>
          </w:p>
        </w:tc>
        <w:tc>
          <w:tcPr>
            <w:tcW w:w="3028" w:type="dxa"/>
            <w:shd w:val="clear" w:color="auto" w:fill="auto"/>
          </w:tcPr>
          <w:p w:rsidR="00EB2DE4" w:rsidRDefault="00EB2DE4" w:rsidP="00C162FA">
            <w:pPr>
              <w:rPr>
                <w:rFonts w:ascii="Calibri" w:hAnsi="Calibri" w:cs="Calibri"/>
                <w:color w:val="000000"/>
                <w:sz w:val="22"/>
                <w:szCs w:val="22"/>
              </w:rPr>
            </w:pPr>
            <w:r w:rsidRPr="00C43626">
              <w:rPr>
                <w:rFonts w:ascii="Calibri" w:hAnsi="Calibri" w:cs="Calibri"/>
                <w:b/>
                <w:color w:val="000000"/>
                <w:sz w:val="22"/>
                <w:szCs w:val="22"/>
              </w:rPr>
              <w:t>5 группа</w:t>
            </w:r>
            <w:r>
              <w:rPr>
                <w:rFonts w:ascii="Calibri" w:hAnsi="Calibri" w:cs="Calibri"/>
                <w:color w:val="000000"/>
                <w:sz w:val="22"/>
                <w:szCs w:val="22"/>
              </w:rPr>
              <w:t xml:space="preserve"> Срок существования компании</w:t>
            </w:r>
          </w:p>
        </w:tc>
        <w:tc>
          <w:tcPr>
            <w:tcW w:w="750" w:type="dxa"/>
            <w:shd w:val="clear" w:color="auto" w:fill="auto"/>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0,18</w:t>
            </w:r>
          </w:p>
        </w:tc>
        <w:tc>
          <w:tcPr>
            <w:tcW w:w="2528" w:type="dxa"/>
            <w:shd w:val="clear" w:color="auto" w:fill="auto"/>
          </w:tcPr>
          <w:p w:rsidR="00EB2DE4" w:rsidRPr="00C43626" w:rsidRDefault="00EB2DE4" w:rsidP="00C162FA">
            <w:pPr>
              <w:rPr>
                <w:rFonts w:ascii="Calibri" w:hAnsi="Calibri" w:cs="Calibri"/>
                <w:i/>
                <w:color w:val="000000"/>
                <w:sz w:val="20"/>
                <w:szCs w:val="20"/>
              </w:rPr>
            </w:pP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Pr>
                <w:rFonts w:ascii="Calibri" w:hAnsi="Calibri" w:cs="Calibri"/>
                <w:i/>
                <w:color w:val="000000"/>
                <w:sz w:val="20"/>
                <w:szCs w:val="20"/>
              </w:rPr>
              <w:t>100</w:t>
            </w:r>
            <w:r w:rsidRPr="00C43626">
              <w:rPr>
                <w:rFonts w:ascii="Calibri" w:hAnsi="Calibri" w:cs="Calibri"/>
                <w:i/>
                <w:color w:val="000000"/>
                <w:sz w:val="20"/>
                <w:szCs w:val="20"/>
              </w:rPr>
              <w:t>%</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0,18</w:t>
            </w:r>
          </w:p>
        </w:tc>
      </w:tr>
      <w:tr w:rsidR="00EB2DE4" w:rsidTr="00C162FA">
        <w:trPr>
          <w:trHeight w:val="900"/>
        </w:trPr>
        <w:tc>
          <w:tcPr>
            <w:tcW w:w="915" w:type="dxa"/>
            <w:vMerge/>
            <w:vAlign w:val="center"/>
          </w:tcPr>
          <w:p w:rsidR="00EB2DE4" w:rsidRDefault="00EB2DE4" w:rsidP="00C162FA">
            <w:pPr>
              <w:rPr>
                <w:rFonts w:ascii="Calibri" w:hAnsi="Calibri" w:cs="Calibri"/>
                <w:color w:val="000000"/>
                <w:sz w:val="22"/>
                <w:szCs w:val="22"/>
              </w:rPr>
            </w:pPr>
          </w:p>
        </w:tc>
        <w:tc>
          <w:tcPr>
            <w:tcW w:w="3028" w:type="dxa"/>
            <w:shd w:val="clear" w:color="auto" w:fill="auto"/>
          </w:tcPr>
          <w:p w:rsidR="00EB2DE4" w:rsidRDefault="00EB2DE4" w:rsidP="00C162FA">
            <w:pPr>
              <w:rPr>
                <w:rFonts w:ascii="Calibri" w:hAnsi="Calibri" w:cs="Calibri"/>
                <w:color w:val="000000"/>
                <w:sz w:val="22"/>
                <w:szCs w:val="22"/>
              </w:rPr>
            </w:pPr>
            <w:r w:rsidRPr="00C43626">
              <w:rPr>
                <w:rFonts w:ascii="Calibri" w:hAnsi="Calibri" w:cs="Calibri"/>
                <w:b/>
                <w:color w:val="000000"/>
                <w:sz w:val="22"/>
                <w:szCs w:val="22"/>
              </w:rPr>
              <w:t>6 группа</w:t>
            </w:r>
            <w:r>
              <w:rPr>
                <w:rFonts w:ascii="Calibri" w:hAnsi="Calibri" w:cs="Calibri"/>
                <w:color w:val="000000"/>
                <w:sz w:val="22"/>
                <w:szCs w:val="22"/>
              </w:rPr>
              <w:t xml:space="preserve"> Финансовые условия сделки</w:t>
            </w:r>
            <w:r>
              <w:rPr>
                <w:rFonts w:ascii="Calibri" w:hAnsi="Calibri" w:cs="Calibri"/>
                <w:color w:val="000000"/>
                <w:sz w:val="22"/>
                <w:szCs w:val="22"/>
              </w:rPr>
              <w:br/>
              <w:t>- авансовые платежи есть/нет</w:t>
            </w:r>
            <w:r>
              <w:rPr>
                <w:rFonts w:ascii="Calibri" w:hAnsi="Calibri" w:cs="Calibri"/>
                <w:color w:val="000000"/>
                <w:sz w:val="22"/>
                <w:szCs w:val="22"/>
              </w:rPr>
              <w:br/>
              <w:t>- обеспечение (банковская гарантия)</w:t>
            </w:r>
          </w:p>
        </w:tc>
        <w:tc>
          <w:tcPr>
            <w:tcW w:w="750" w:type="dxa"/>
            <w:shd w:val="clear" w:color="auto" w:fill="auto"/>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0,23</w:t>
            </w: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 </w:t>
            </w:r>
          </w:p>
        </w:tc>
        <w:tc>
          <w:tcPr>
            <w:tcW w:w="1252" w:type="dxa"/>
            <w:shd w:val="clear" w:color="auto" w:fill="auto"/>
            <w:noWrap/>
            <w:vAlign w:val="center"/>
          </w:tcPr>
          <w:p w:rsidR="00EB2DE4" w:rsidRPr="00C43626" w:rsidRDefault="00EB2DE4" w:rsidP="00C162FA">
            <w:pPr>
              <w:jc w:val="right"/>
              <w:rPr>
                <w:rFonts w:ascii="Calibri" w:hAnsi="Calibri" w:cs="Calibri"/>
                <w:i/>
                <w:color w:val="000000"/>
                <w:sz w:val="20"/>
                <w:szCs w:val="20"/>
              </w:rPr>
            </w:pPr>
            <w:r w:rsidRPr="00C43626">
              <w:rPr>
                <w:rFonts w:ascii="Calibri" w:hAnsi="Calibri" w:cs="Calibri"/>
                <w:i/>
                <w:color w:val="000000"/>
                <w:sz w:val="20"/>
                <w:szCs w:val="20"/>
              </w:rPr>
              <w:t>100%</w:t>
            </w:r>
          </w:p>
        </w:tc>
        <w:tc>
          <w:tcPr>
            <w:tcW w:w="1365" w:type="dxa"/>
            <w:shd w:val="clear" w:color="auto" w:fill="auto"/>
            <w:noWrap/>
            <w:vAlign w:val="center"/>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0,23</w:t>
            </w:r>
          </w:p>
        </w:tc>
      </w:tr>
      <w:tr w:rsidR="00EB2DE4" w:rsidTr="00C162FA">
        <w:trPr>
          <w:trHeight w:val="300"/>
        </w:trPr>
        <w:tc>
          <w:tcPr>
            <w:tcW w:w="915" w:type="dxa"/>
            <w:shd w:val="clear" w:color="auto" w:fill="auto"/>
            <w:textDirection w:val="btLr"/>
            <w:vAlign w:val="bottom"/>
          </w:tcPr>
          <w:p w:rsidR="00EB2DE4" w:rsidRDefault="00EB2DE4" w:rsidP="00C162FA">
            <w:pPr>
              <w:rPr>
                <w:rFonts w:ascii="Calibri" w:hAnsi="Calibri" w:cs="Calibri"/>
                <w:color w:val="000000"/>
                <w:sz w:val="22"/>
                <w:szCs w:val="22"/>
              </w:rPr>
            </w:pPr>
            <w:r>
              <w:rPr>
                <w:rFonts w:ascii="Calibri" w:hAnsi="Calibri" w:cs="Calibri"/>
                <w:color w:val="000000"/>
                <w:sz w:val="22"/>
                <w:szCs w:val="22"/>
              </w:rPr>
              <w:t> </w:t>
            </w:r>
          </w:p>
        </w:tc>
        <w:tc>
          <w:tcPr>
            <w:tcW w:w="3028" w:type="dxa"/>
            <w:shd w:val="clear" w:color="auto" w:fill="auto"/>
          </w:tcPr>
          <w:p w:rsidR="00EB2DE4" w:rsidRDefault="00EB2DE4" w:rsidP="00C162FA">
            <w:pPr>
              <w:rPr>
                <w:rFonts w:ascii="Calibri" w:hAnsi="Calibri" w:cs="Calibri"/>
                <w:color w:val="000000"/>
                <w:sz w:val="22"/>
                <w:szCs w:val="22"/>
              </w:rPr>
            </w:pPr>
            <w:r>
              <w:rPr>
                <w:rFonts w:ascii="Calibri" w:hAnsi="Calibri" w:cs="Calibri"/>
                <w:color w:val="000000"/>
                <w:sz w:val="22"/>
                <w:szCs w:val="22"/>
              </w:rPr>
              <w:t>Константа*</w:t>
            </w:r>
          </w:p>
        </w:tc>
        <w:tc>
          <w:tcPr>
            <w:tcW w:w="750" w:type="dxa"/>
            <w:shd w:val="clear" w:color="auto" w:fill="auto"/>
            <w:vAlign w:val="center"/>
          </w:tcPr>
          <w:p w:rsidR="00EB2DE4" w:rsidRPr="00C43626" w:rsidRDefault="00EB2DE4" w:rsidP="00C162FA">
            <w:pPr>
              <w:jc w:val="center"/>
              <w:rPr>
                <w:rFonts w:ascii="Calibri" w:hAnsi="Calibri" w:cs="Calibri"/>
                <w:color w:val="000000"/>
                <w:sz w:val="22"/>
                <w:szCs w:val="22"/>
              </w:rPr>
            </w:pPr>
            <w:r w:rsidRPr="00C43626">
              <w:rPr>
                <w:rFonts w:ascii="Calibri" w:hAnsi="Calibri" w:cs="Calibri"/>
                <w:color w:val="000000"/>
                <w:sz w:val="22"/>
                <w:szCs w:val="22"/>
              </w:rPr>
              <w:t>-0,37</w:t>
            </w:r>
          </w:p>
        </w:tc>
        <w:tc>
          <w:tcPr>
            <w:tcW w:w="2528" w:type="dxa"/>
            <w:shd w:val="clear" w:color="auto" w:fill="auto"/>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 </w:t>
            </w:r>
          </w:p>
        </w:tc>
        <w:tc>
          <w:tcPr>
            <w:tcW w:w="1252" w:type="dxa"/>
            <w:shd w:val="clear" w:color="auto" w:fill="auto"/>
            <w:noWrap/>
            <w:vAlign w:val="bottom"/>
          </w:tcPr>
          <w:p w:rsidR="00EB2DE4" w:rsidRPr="00C43626" w:rsidRDefault="00EB2DE4" w:rsidP="00C162FA">
            <w:pPr>
              <w:rPr>
                <w:rFonts w:ascii="Calibri" w:hAnsi="Calibri" w:cs="Calibri"/>
                <w:i/>
                <w:color w:val="000000"/>
                <w:sz w:val="20"/>
                <w:szCs w:val="20"/>
              </w:rPr>
            </w:pPr>
            <w:r w:rsidRPr="00C43626">
              <w:rPr>
                <w:rFonts w:ascii="Calibri" w:hAnsi="Calibri" w:cs="Calibri"/>
                <w:i/>
                <w:color w:val="000000"/>
                <w:sz w:val="20"/>
                <w:szCs w:val="20"/>
              </w:rPr>
              <w:t> </w:t>
            </w:r>
          </w:p>
        </w:tc>
        <w:tc>
          <w:tcPr>
            <w:tcW w:w="1365" w:type="dxa"/>
            <w:shd w:val="clear" w:color="auto" w:fill="auto"/>
            <w:noWrap/>
            <w:vAlign w:val="bottom"/>
          </w:tcPr>
          <w:p w:rsidR="00EB2DE4" w:rsidRDefault="00EB2DE4" w:rsidP="00C162FA">
            <w:pPr>
              <w:jc w:val="right"/>
              <w:rPr>
                <w:rFonts w:ascii="Calibri" w:hAnsi="Calibri" w:cs="Calibri"/>
                <w:color w:val="000000"/>
                <w:sz w:val="22"/>
                <w:szCs w:val="22"/>
              </w:rPr>
            </w:pPr>
            <w:r>
              <w:rPr>
                <w:rFonts w:ascii="Calibri" w:hAnsi="Calibri" w:cs="Calibri"/>
                <w:color w:val="000000"/>
                <w:sz w:val="22"/>
                <w:szCs w:val="22"/>
              </w:rPr>
              <w:t>-0,37</w:t>
            </w:r>
          </w:p>
        </w:tc>
      </w:tr>
    </w:tbl>
    <w:p w:rsidR="00EB2DE4" w:rsidRDefault="00EB2DE4" w:rsidP="00EB2DE4">
      <w:pPr>
        <w:tabs>
          <w:tab w:val="num" w:pos="1584"/>
        </w:tabs>
        <w:jc w:val="both"/>
        <w:rPr>
          <w:rFonts w:ascii="Arial" w:hAnsi="Arial" w:cs="Arial"/>
          <w:i/>
          <w:sz w:val="20"/>
          <w:szCs w:val="20"/>
        </w:rPr>
      </w:pPr>
    </w:p>
    <w:p w:rsidR="00EB2DE4" w:rsidRPr="00C057C5" w:rsidRDefault="00EB2DE4" w:rsidP="00EB2DE4">
      <w:pPr>
        <w:tabs>
          <w:tab w:val="num" w:pos="1584"/>
        </w:tabs>
        <w:jc w:val="both"/>
        <w:rPr>
          <w:rFonts w:ascii="Arial" w:hAnsi="Arial" w:cs="Arial"/>
          <w:i/>
          <w:sz w:val="20"/>
          <w:szCs w:val="20"/>
        </w:rPr>
      </w:pPr>
      <w:r w:rsidRPr="00E31E7C">
        <w:rPr>
          <w:rFonts w:ascii="Arial" w:hAnsi="Arial" w:cs="Arial"/>
          <w:i/>
          <w:sz w:val="20"/>
          <w:szCs w:val="20"/>
        </w:rPr>
        <w:t>*</w:t>
      </w:r>
      <w:r>
        <w:rPr>
          <w:rFonts w:ascii="Arial" w:hAnsi="Arial" w:cs="Arial"/>
          <w:i/>
          <w:sz w:val="20"/>
          <w:szCs w:val="20"/>
        </w:rPr>
        <w:t xml:space="preserve"> </w:t>
      </w:r>
      <w:r w:rsidRPr="00E31E7C">
        <w:rPr>
          <w:rFonts w:ascii="Arial" w:hAnsi="Arial" w:cs="Arial"/>
          <w:i/>
          <w:sz w:val="20"/>
          <w:szCs w:val="20"/>
        </w:rPr>
        <w:t xml:space="preserve">В процессе статистической обработки экспертных мнений и поиска весовых коэффициентов при помощи регрессионного пакета анализа </w:t>
      </w:r>
      <w:r w:rsidRPr="00E31E7C">
        <w:rPr>
          <w:rFonts w:ascii="Arial" w:hAnsi="Arial" w:cs="Arial"/>
          <w:i/>
          <w:sz w:val="20"/>
          <w:szCs w:val="20"/>
          <w:lang w:val="en-US"/>
        </w:rPr>
        <w:t>MS</w:t>
      </w:r>
      <w:r w:rsidRPr="00E31E7C">
        <w:rPr>
          <w:rFonts w:ascii="Arial" w:hAnsi="Arial" w:cs="Arial"/>
          <w:i/>
          <w:sz w:val="20"/>
          <w:szCs w:val="20"/>
        </w:rPr>
        <w:t xml:space="preserve"> </w:t>
      </w:r>
      <w:r w:rsidRPr="00E31E7C">
        <w:rPr>
          <w:rFonts w:ascii="Arial" w:hAnsi="Arial" w:cs="Arial"/>
          <w:i/>
          <w:sz w:val="20"/>
          <w:szCs w:val="20"/>
          <w:lang w:val="en-US"/>
        </w:rPr>
        <w:t>Excel</w:t>
      </w:r>
      <w:r w:rsidRPr="00E31E7C">
        <w:rPr>
          <w:rFonts w:ascii="Arial" w:hAnsi="Arial" w:cs="Arial"/>
          <w:i/>
          <w:sz w:val="20"/>
          <w:szCs w:val="20"/>
        </w:rPr>
        <w:t xml:space="preserve"> наиболее точное решение было получено при ненулевой константе</w:t>
      </w:r>
      <w:r>
        <w:rPr>
          <w:rFonts w:ascii="Arial" w:hAnsi="Arial" w:cs="Arial"/>
          <w:i/>
          <w:sz w:val="20"/>
          <w:szCs w:val="20"/>
        </w:rPr>
        <w:t>.</w:t>
      </w:r>
    </w:p>
    <w:p w:rsidR="00EB2DE4" w:rsidRPr="00B108E5" w:rsidRDefault="00EB2DE4" w:rsidP="00EB2DE4">
      <w:pPr>
        <w:numPr>
          <w:ilvl w:val="1"/>
          <w:numId w:val="5"/>
        </w:numPr>
        <w:tabs>
          <w:tab w:val="clear" w:pos="792"/>
          <w:tab w:val="num" w:pos="574"/>
        </w:tabs>
        <w:spacing w:before="120" w:after="120"/>
        <w:ind w:left="0" w:firstLine="0"/>
        <w:jc w:val="both"/>
        <w:rPr>
          <w:rFonts w:ascii="Arial" w:hAnsi="Arial" w:cs="Arial"/>
        </w:rPr>
      </w:pPr>
      <w:r>
        <w:rPr>
          <w:rFonts w:ascii="Arial" w:hAnsi="Arial" w:cs="Arial"/>
        </w:rPr>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rsidR="00EB2DE4" w:rsidRPr="001955F0" w:rsidRDefault="00EB2DE4" w:rsidP="00EB2DE4">
      <w:pPr>
        <w:pStyle w:val="1"/>
        <w:numPr>
          <w:ilvl w:val="0"/>
          <w:numId w:val="5"/>
        </w:numPr>
        <w:tabs>
          <w:tab w:val="left" w:pos="540"/>
        </w:tabs>
        <w:spacing w:after="240"/>
        <w:ind w:left="539" w:hanging="539"/>
        <w:rPr>
          <w:sz w:val="24"/>
          <w:szCs w:val="24"/>
        </w:rPr>
      </w:pPr>
      <w:bookmarkStart w:id="73" w:name="_Toc370229413"/>
      <w:bookmarkStart w:id="74" w:name="_Toc322961183"/>
      <w:bookmarkStart w:id="75" w:name="_Toc326066018"/>
      <w:bookmarkStart w:id="76" w:name="_Toc326066288"/>
      <w:bookmarkStart w:id="77" w:name="_Toc326067319"/>
      <w:bookmarkStart w:id="78" w:name="_Toc370295577"/>
      <w:bookmarkEnd w:id="73"/>
      <w:r w:rsidRPr="00D379AD">
        <w:rPr>
          <w:sz w:val="24"/>
          <w:szCs w:val="24"/>
        </w:rPr>
        <w:t>О</w:t>
      </w:r>
      <w:r>
        <w:rPr>
          <w:sz w:val="24"/>
          <w:szCs w:val="24"/>
        </w:rPr>
        <w:t>тборочная стадия</w:t>
      </w:r>
      <w:bookmarkEnd w:id="75"/>
      <w:bookmarkEnd w:id="76"/>
      <w:bookmarkEnd w:id="77"/>
      <w:bookmarkEnd w:id="78"/>
      <w:r>
        <w:rPr>
          <w:sz w:val="24"/>
          <w:szCs w:val="24"/>
        </w:rPr>
        <w:t xml:space="preserve"> </w:t>
      </w:r>
      <w:bookmarkEnd w:id="74"/>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bookmarkStart w:id="79" w:name="_Ref186543939"/>
      <w:r>
        <w:rPr>
          <w:rFonts w:ascii="Arial" w:hAnsi="Arial" w:cs="Arial"/>
        </w:rPr>
        <w:t>П</w:t>
      </w:r>
      <w:r w:rsidRPr="00D379AD">
        <w:rPr>
          <w:rFonts w:ascii="Arial" w:hAnsi="Arial" w:cs="Arial"/>
        </w:rPr>
        <w:t>ервичная оценка по шкале от 0 до 1</w:t>
      </w:r>
      <w:r>
        <w:rPr>
          <w:rFonts w:ascii="Arial" w:hAnsi="Arial" w:cs="Arial"/>
        </w:rPr>
        <w:t xml:space="preserve">, полученная в результате </w:t>
      </w:r>
      <w:r w:rsidRPr="00D379AD">
        <w:rPr>
          <w:rFonts w:ascii="Arial" w:hAnsi="Arial" w:cs="Arial"/>
        </w:rPr>
        <w:t>применения балльно-весового метода</w:t>
      </w:r>
      <w:r>
        <w:rPr>
          <w:rFonts w:ascii="Arial" w:hAnsi="Arial" w:cs="Arial"/>
        </w:rPr>
        <w:t>,</w:t>
      </w:r>
      <w:r w:rsidRPr="00D379AD">
        <w:rPr>
          <w:rFonts w:ascii="Arial" w:hAnsi="Arial" w:cs="Arial"/>
        </w:rPr>
        <w:t xml:space="preserve"> используется на отборочной стадии для принятия решения о соответствии/несоответствии участника закупочной процедуры требованиям </w:t>
      </w:r>
      <w:r>
        <w:rPr>
          <w:rFonts w:ascii="Arial" w:hAnsi="Arial" w:cs="Arial"/>
        </w:rPr>
        <w:t>закупочной документации и настоящей методики, а именно участник должен:</w:t>
      </w:r>
    </w:p>
    <w:p w:rsidR="00EB2DE4" w:rsidRDefault="00EB2DE4" w:rsidP="00EB2DE4">
      <w:pPr>
        <w:numPr>
          <w:ilvl w:val="0"/>
          <w:numId w:val="6"/>
        </w:numPr>
        <w:ind w:left="720" w:hanging="11"/>
        <w:jc w:val="both"/>
        <w:rPr>
          <w:rFonts w:ascii="Arial" w:hAnsi="Arial" w:cs="Arial"/>
        </w:rPr>
      </w:pPr>
      <w:r>
        <w:rPr>
          <w:rFonts w:ascii="Arial" w:hAnsi="Arial" w:cs="Arial"/>
        </w:rPr>
        <w:t>обладать достаточной финансовой устойчивостью;</w:t>
      </w:r>
    </w:p>
    <w:p w:rsidR="00EB2DE4" w:rsidRDefault="00EB2DE4" w:rsidP="00EB2DE4">
      <w:pPr>
        <w:numPr>
          <w:ilvl w:val="0"/>
          <w:numId w:val="6"/>
        </w:numPr>
        <w:ind w:left="720" w:hanging="11"/>
        <w:jc w:val="both"/>
        <w:rPr>
          <w:rFonts w:ascii="Arial" w:hAnsi="Arial" w:cs="Arial"/>
        </w:rPr>
      </w:pPr>
      <w:r>
        <w:rPr>
          <w:rFonts w:ascii="Arial" w:hAnsi="Arial" w:cs="Arial"/>
        </w:rPr>
        <w:t>иметь достаточно продолжительную историю существования и релевантный опыт;</w:t>
      </w:r>
    </w:p>
    <w:p w:rsidR="00EB2DE4" w:rsidRDefault="00EB2DE4" w:rsidP="00EB2DE4">
      <w:pPr>
        <w:numPr>
          <w:ilvl w:val="0"/>
          <w:numId w:val="6"/>
        </w:numPr>
        <w:ind w:left="720" w:hanging="11"/>
        <w:jc w:val="both"/>
        <w:rPr>
          <w:rFonts w:ascii="Arial" w:hAnsi="Arial" w:cs="Arial"/>
        </w:rPr>
      </w:pPr>
      <w:r>
        <w:rPr>
          <w:rFonts w:ascii="Arial" w:hAnsi="Arial" w:cs="Arial"/>
        </w:rPr>
        <w:t>иметь необходимые финансовые ресурсы;</w:t>
      </w:r>
    </w:p>
    <w:p w:rsidR="00EB2DE4" w:rsidRPr="00E0464C" w:rsidRDefault="00EB2DE4" w:rsidP="00EB2DE4">
      <w:pPr>
        <w:numPr>
          <w:ilvl w:val="0"/>
          <w:numId w:val="6"/>
        </w:numPr>
        <w:ind w:left="720" w:hanging="11"/>
        <w:jc w:val="both"/>
        <w:rPr>
          <w:rFonts w:ascii="Arial" w:hAnsi="Arial" w:cs="Arial"/>
        </w:rPr>
      </w:pPr>
      <w:r>
        <w:rPr>
          <w:rFonts w:ascii="Arial" w:hAnsi="Arial" w:cs="Arial"/>
        </w:rPr>
        <w:t>оценка финансовых условий сделки (наличие/отсутствие аванса, банковской гарантии) должна обеспечить минимизацию принимаемых кредитных рисков.</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Pr>
          <w:rFonts w:ascii="Arial" w:hAnsi="Arial" w:cs="Arial"/>
        </w:rPr>
        <w:t xml:space="preserve">Предложение участников закупочной процедуры, набравших в результате применения балльно-весового подхода менее 0,45 баллов по шкале от 0 до 1, должно быть рекомендовано к отклонению на отборочной стадии. Количество </w:t>
      </w:r>
      <w:r>
        <w:rPr>
          <w:rFonts w:ascii="Arial" w:hAnsi="Arial" w:cs="Arial"/>
        </w:rPr>
        <w:lastRenderedPageBreak/>
        <w:t>баллов от 0,45 до 0.5 соответствует пограничной ситуации, в которой для принятия решения о соответствии/несоответствии в рамках финансово-экономической экспертизы требуется участие эксперта.</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D379AD">
        <w:rPr>
          <w:rFonts w:ascii="Arial" w:hAnsi="Arial" w:cs="Arial"/>
        </w:rPr>
        <w:t>Кроме этого для принятия решения о соответствии/несоответствии используется система стоп и риск-факторов.</w:t>
      </w:r>
    </w:p>
    <w:p w:rsidR="00EB2DE4" w:rsidRPr="000D0EFD" w:rsidRDefault="00EB2DE4" w:rsidP="00EB2DE4">
      <w:pPr>
        <w:jc w:val="both"/>
        <w:rPr>
          <w:rFonts w:ascii="Arial" w:hAnsi="Arial" w:cs="Arial"/>
        </w:rPr>
      </w:pPr>
      <w:r w:rsidRPr="00E1449F">
        <w:rPr>
          <w:rFonts w:ascii="Arial" w:hAnsi="Arial" w:cs="Arial"/>
        </w:rPr>
        <w:t>Стоп-фактор</w:t>
      </w:r>
      <w:r w:rsidRPr="000D0EFD">
        <w:rPr>
          <w:rFonts w:ascii="Arial" w:hAnsi="Arial" w:cs="Arial"/>
        </w:rPr>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rsidR="00EB2DE4" w:rsidRPr="000D0EFD" w:rsidRDefault="00EB2DE4" w:rsidP="00EB2DE4">
      <w:pPr>
        <w:numPr>
          <w:ilvl w:val="0"/>
          <w:numId w:val="6"/>
        </w:numPr>
        <w:spacing w:before="120"/>
        <w:ind w:left="720" w:hanging="11"/>
        <w:jc w:val="both"/>
        <w:rPr>
          <w:rFonts w:ascii="Arial" w:hAnsi="Arial" w:cs="Arial"/>
        </w:rPr>
      </w:pPr>
      <w:r w:rsidRPr="000D0EFD">
        <w:rPr>
          <w:rFonts w:ascii="Arial" w:hAnsi="Arial" w:cs="Arial"/>
        </w:rPr>
        <w:t>существенное несоответствие масштабов деятельности участника закупочной процедуры сумме закупки (если стоимость предложения, указанная в оферте, более чем в 1,4 раза превышает годовую выручку компании или более чем в 2,8 раза превосходит ее суммарные активы);</w:t>
      </w:r>
    </w:p>
    <w:p w:rsidR="00EB2DE4" w:rsidRPr="000D0EFD" w:rsidRDefault="00EB2DE4" w:rsidP="00EB2DE4">
      <w:pPr>
        <w:numPr>
          <w:ilvl w:val="0"/>
          <w:numId w:val="6"/>
        </w:numPr>
        <w:ind w:left="720" w:hanging="11"/>
        <w:jc w:val="both"/>
        <w:rPr>
          <w:rFonts w:ascii="Arial" w:hAnsi="Arial" w:cs="Arial"/>
        </w:rPr>
      </w:pPr>
      <w:r w:rsidRPr="000D0EFD">
        <w:rPr>
          <w:rFonts w:ascii="Arial" w:hAnsi="Arial" w:cs="Arial"/>
        </w:rPr>
        <w:t>отрицательное значение итога 3-го раздела баланса (капитал и резервы) на последнюю отчетную дату;</w:t>
      </w:r>
    </w:p>
    <w:p w:rsidR="00EB2DE4" w:rsidRPr="000D0EFD" w:rsidRDefault="00EB2DE4" w:rsidP="00EB2DE4">
      <w:pPr>
        <w:numPr>
          <w:ilvl w:val="0"/>
          <w:numId w:val="6"/>
        </w:numPr>
        <w:ind w:left="720" w:hanging="11"/>
        <w:jc w:val="both"/>
        <w:rPr>
          <w:rFonts w:ascii="Arial" w:hAnsi="Arial" w:cs="Arial"/>
        </w:rPr>
      </w:pPr>
      <w:r w:rsidRPr="000D0EFD">
        <w:rPr>
          <w:rFonts w:ascii="Arial" w:hAnsi="Arial" w:cs="Arial"/>
        </w:rPr>
        <w:t>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w:t>
      </w:r>
    </w:p>
    <w:p w:rsidR="00EB2DE4" w:rsidRPr="00D379AD" w:rsidRDefault="00EB2DE4" w:rsidP="00EB2DE4">
      <w:pPr>
        <w:spacing w:before="120"/>
        <w:jc w:val="both"/>
        <w:rPr>
          <w:rFonts w:ascii="Arial" w:hAnsi="Arial" w:cs="Arial"/>
        </w:rPr>
      </w:pPr>
      <w:r w:rsidRPr="00E1449F">
        <w:rPr>
          <w:rFonts w:ascii="Arial" w:hAnsi="Arial" w:cs="Arial"/>
        </w:rPr>
        <w:t>Риск-фактор</w:t>
      </w:r>
      <w:r w:rsidRPr="00D379AD">
        <w:rPr>
          <w:rFonts w:ascii="Arial" w:hAnsi="Arial" w:cs="Arial"/>
        </w:rPr>
        <w:t xml:space="preserve"> – фактор, реализация которого может являться основанием для понижения </w:t>
      </w:r>
      <w:r>
        <w:rPr>
          <w:rFonts w:ascii="Arial" w:hAnsi="Arial" w:cs="Arial"/>
        </w:rPr>
        <w:t>э</w:t>
      </w:r>
      <w:r w:rsidRPr="00D379AD">
        <w:rPr>
          <w:rFonts w:ascii="Arial" w:hAnsi="Arial" w:cs="Arial"/>
        </w:rPr>
        <w:t>кспертом итоговой оценки.</w:t>
      </w:r>
      <w:r>
        <w:rPr>
          <w:rFonts w:ascii="Arial" w:hAnsi="Arial" w:cs="Arial"/>
        </w:rPr>
        <w:t xml:space="preserve"> </w:t>
      </w:r>
      <w:r w:rsidRPr="00D379AD">
        <w:rPr>
          <w:rFonts w:ascii="Arial" w:hAnsi="Arial" w:cs="Arial"/>
        </w:rPr>
        <w:t>В рамках финансово-экономической экспертизы предусмотрены следующие риск-факторы:</w:t>
      </w:r>
    </w:p>
    <w:p w:rsidR="00EB2DE4" w:rsidRPr="00D379AD" w:rsidRDefault="00EB2DE4" w:rsidP="00EB2DE4">
      <w:pPr>
        <w:numPr>
          <w:ilvl w:val="0"/>
          <w:numId w:val="6"/>
        </w:numPr>
        <w:spacing w:before="120"/>
        <w:ind w:left="720" w:hanging="11"/>
        <w:jc w:val="both"/>
        <w:rPr>
          <w:rFonts w:ascii="Arial" w:hAnsi="Arial" w:cs="Arial"/>
        </w:rPr>
      </w:pPr>
      <w:r w:rsidRPr="00D379AD">
        <w:rPr>
          <w:rFonts w:ascii="Arial" w:hAnsi="Arial" w:cs="Arial"/>
        </w:rPr>
        <w:t>непокрытый убыток в балансе на последнюю отчетную дату;</w:t>
      </w:r>
    </w:p>
    <w:p w:rsidR="00EB2DE4" w:rsidRPr="00D379AD" w:rsidRDefault="00EB2DE4" w:rsidP="00EB2DE4">
      <w:pPr>
        <w:numPr>
          <w:ilvl w:val="0"/>
          <w:numId w:val="6"/>
        </w:numPr>
        <w:ind w:left="720" w:hanging="11"/>
        <w:jc w:val="both"/>
        <w:rPr>
          <w:rFonts w:ascii="Arial" w:hAnsi="Arial" w:cs="Arial"/>
        </w:rPr>
      </w:pPr>
      <w:r w:rsidRPr="00D379AD">
        <w:rPr>
          <w:rFonts w:ascii="Arial" w:hAnsi="Arial" w:cs="Arial"/>
        </w:rPr>
        <w:t>убытки за последний отчетный период или по итогам последнего года;</w:t>
      </w:r>
    </w:p>
    <w:p w:rsidR="00EB2DE4" w:rsidRPr="00D379AD" w:rsidRDefault="00EB2DE4" w:rsidP="00EB2DE4">
      <w:pPr>
        <w:numPr>
          <w:ilvl w:val="0"/>
          <w:numId w:val="6"/>
        </w:numPr>
        <w:ind w:left="720" w:hanging="11"/>
        <w:jc w:val="both"/>
        <w:rPr>
          <w:rFonts w:ascii="Arial" w:hAnsi="Arial" w:cs="Arial"/>
        </w:rPr>
      </w:pPr>
      <w:r w:rsidRPr="00D379AD">
        <w:rPr>
          <w:rFonts w:ascii="Arial" w:hAnsi="Arial" w:cs="Arial"/>
        </w:rPr>
        <w:t>срок существования компании менее года;</w:t>
      </w:r>
    </w:p>
    <w:p w:rsidR="00EB2DE4" w:rsidRPr="00D379AD" w:rsidRDefault="00EB2DE4" w:rsidP="00EB2DE4">
      <w:pPr>
        <w:numPr>
          <w:ilvl w:val="0"/>
          <w:numId w:val="6"/>
        </w:numPr>
        <w:ind w:left="720" w:hanging="11"/>
        <w:jc w:val="both"/>
        <w:rPr>
          <w:rFonts w:ascii="Arial" w:hAnsi="Arial" w:cs="Arial"/>
        </w:rPr>
      </w:pPr>
      <w:r w:rsidRPr="00D379AD">
        <w:rPr>
          <w:rFonts w:ascii="Arial" w:hAnsi="Arial" w:cs="Arial"/>
        </w:rPr>
        <w:t xml:space="preserve">сделка является достаточно крупной для участника закупочной процедуры (если стоимость предложения, указанная в оферте, превышает </w:t>
      </w:r>
      <w:r>
        <w:rPr>
          <w:rFonts w:ascii="Arial" w:hAnsi="Arial" w:cs="Arial"/>
        </w:rPr>
        <w:t>80</w:t>
      </w:r>
      <w:r w:rsidRPr="00D379AD">
        <w:rPr>
          <w:rFonts w:ascii="Arial" w:hAnsi="Arial" w:cs="Arial"/>
        </w:rPr>
        <w:t xml:space="preserve">% годовой выручки компании или </w:t>
      </w:r>
      <w:r>
        <w:rPr>
          <w:rFonts w:ascii="Arial" w:hAnsi="Arial" w:cs="Arial"/>
        </w:rPr>
        <w:t xml:space="preserve">более чем в 1,6 раз превосходит </w:t>
      </w:r>
      <w:r w:rsidRPr="00D379AD">
        <w:rPr>
          <w:rFonts w:ascii="Arial" w:hAnsi="Arial" w:cs="Arial"/>
        </w:rPr>
        <w:t>величину ее суммарных активов);</w:t>
      </w:r>
    </w:p>
    <w:p w:rsidR="00EB2DE4" w:rsidRDefault="00EB2DE4" w:rsidP="00EB2DE4">
      <w:pPr>
        <w:numPr>
          <w:ilvl w:val="0"/>
          <w:numId w:val="6"/>
        </w:numPr>
        <w:ind w:left="720" w:hanging="11"/>
        <w:jc w:val="both"/>
        <w:rPr>
          <w:rFonts w:ascii="Arial" w:hAnsi="Arial" w:cs="Arial"/>
        </w:rPr>
      </w:pPr>
      <w:r w:rsidRPr="00D379AD">
        <w:rPr>
          <w:rFonts w:ascii="Arial" w:hAnsi="Arial" w:cs="Arial"/>
        </w:rPr>
        <w:t>если договором предусматривается выплата аванса без покрытия банковской гарантией.</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E73494">
        <w:rPr>
          <w:rFonts w:ascii="Arial" w:hAnsi="Arial" w:cs="Arial"/>
        </w:rPr>
        <w:t xml:space="preserve">На основе совместного применения балльно-весового </w:t>
      </w:r>
      <w:r>
        <w:rPr>
          <w:rFonts w:ascii="Arial" w:hAnsi="Arial" w:cs="Arial"/>
        </w:rPr>
        <w:t>подхода</w:t>
      </w:r>
      <w:r w:rsidRPr="00E73494">
        <w:rPr>
          <w:rFonts w:ascii="Arial" w:hAnsi="Arial" w:cs="Arial"/>
        </w:rPr>
        <w:t xml:space="preserve"> и системы стоп и риск-факторов по описанному </w:t>
      </w:r>
      <w:r>
        <w:rPr>
          <w:rFonts w:ascii="Arial" w:hAnsi="Arial" w:cs="Arial"/>
        </w:rPr>
        <w:t>в таблице 9 настоящей методики</w:t>
      </w:r>
      <w:r w:rsidRPr="00E73494">
        <w:rPr>
          <w:rFonts w:ascii="Arial" w:hAnsi="Arial" w:cs="Arial"/>
        </w:rPr>
        <w:t xml:space="preserve"> алгоритму принимается решение о прохождении участником отборочной стадии (соответствии</w:t>
      </w:r>
      <w:r>
        <w:rPr>
          <w:rFonts w:ascii="Arial" w:hAnsi="Arial" w:cs="Arial"/>
        </w:rPr>
        <w:t xml:space="preserve"> </w:t>
      </w:r>
      <w:r w:rsidRPr="00E73494">
        <w:rPr>
          <w:rFonts w:ascii="Arial" w:hAnsi="Arial" w:cs="Arial"/>
        </w:rPr>
        <w:t>/</w:t>
      </w:r>
      <w:r>
        <w:rPr>
          <w:rFonts w:ascii="Arial" w:hAnsi="Arial" w:cs="Arial"/>
        </w:rPr>
        <w:t xml:space="preserve"> </w:t>
      </w:r>
      <w:r w:rsidRPr="00E73494">
        <w:rPr>
          <w:rFonts w:ascii="Arial" w:hAnsi="Arial" w:cs="Arial"/>
        </w:rPr>
        <w:t>несоответствии)</w:t>
      </w:r>
      <w:r>
        <w:rPr>
          <w:rFonts w:ascii="Arial" w:hAnsi="Arial" w:cs="Arial"/>
        </w:rPr>
        <w:t>.</w:t>
      </w:r>
    </w:p>
    <w:p w:rsidR="00EB2DE4" w:rsidRPr="00E73494" w:rsidRDefault="00EB2DE4" w:rsidP="00EB2DE4">
      <w:pPr>
        <w:jc w:val="right"/>
        <w:rPr>
          <w:rFonts w:ascii="Arial" w:hAnsi="Arial" w:cs="Arial"/>
        </w:rPr>
      </w:pPr>
      <w:r w:rsidRPr="00E73494">
        <w:rPr>
          <w:rFonts w:ascii="Arial" w:hAnsi="Arial" w:cs="Arial"/>
        </w:rPr>
        <w:t xml:space="preserve">Таблица </w:t>
      </w:r>
      <w:r>
        <w:rPr>
          <w:rFonts w:ascii="Arial" w:hAnsi="Arial" w:cs="Arial"/>
        </w:rPr>
        <w:t>9. Алгоритм принятия решения.</w:t>
      </w:r>
    </w:p>
    <w:tbl>
      <w:tblPr>
        <w:tblW w:w="97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443"/>
      </w:tblGrid>
      <w:tr w:rsidR="00EB2DE4" w:rsidTr="00C162FA">
        <w:trPr>
          <w:trHeight w:val="542"/>
        </w:trPr>
        <w:tc>
          <w:tcPr>
            <w:tcW w:w="3276" w:type="dxa"/>
            <w:shd w:val="clear" w:color="auto" w:fill="auto"/>
            <w:noWrap/>
            <w:vAlign w:val="center"/>
          </w:tcPr>
          <w:p w:rsidR="00EB2DE4" w:rsidRPr="00117659" w:rsidRDefault="00EB2DE4" w:rsidP="00C162FA">
            <w:pPr>
              <w:jc w:val="center"/>
              <w:rPr>
                <w:rFonts w:ascii="Calibri" w:hAnsi="Calibri" w:cs="Calibri"/>
                <w:color w:val="000000"/>
                <w:sz w:val="22"/>
                <w:szCs w:val="22"/>
              </w:rPr>
            </w:pPr>
            <w:r w:rsidRPr="00117659">
              <w:rPr>
                <w:rFonts w:ascii="Calibri" w:hAnsi="Calibri" w:cs="Calibri"/>
                <w:color w:val="000000"/>
                <w:sz w:val="22"/>
                <w:szCs w:val="22"/>
              </w:rPr>
              <w:t>Решение о соответствии/несоответствии</w:t>
            </w:r>
          </w:p>
        </w:tc>
        <w:tc>
          <w:tcPr>
            <w:tcW w:w="6443" w:type="dxa"/>
            <w:shd w:val="clear" w:color="auto" w:fill="auto"/>
            <w:noWrap/>
            <w:vAlign w:val="center"/>
          </w:tcPr>
          <w:p w:rsidR="00EB2DE4" w:rsidRPr="00117659" w:rsidRDefault="00EB2DE4" w:rsidP="00C162FA">
            <w:pPr>
              <w:jc w:val="center"/>
              <w:rPr>
                <w:rFonts w:ascii="Calibri" w:hAnsi="Calibri" w:cs="Calibri"/>
                <w:color w:val="000000"/>
                <w:sz w:val="22"/>
                <w:szCs w:val="22"/>
              </w:rPr>
            </w:pPr>
            <w:r w:rsidRPr="00117659">
              <w:rPr>
                <w:rFonts w:ascii="Calibri" w:hAnsi="Calibri" w:cs="Calibri"/>
                <w:color w:val="000000"/>
                <w:sz w:val="22"/>
                <w:szCs w:val="22"/>
              </w:rPr>
              <w:t>Описание</w:t>
            </w:r>
          </w:p>
        </w:tc>
      </w:tr>
      <w:tr w:rsidR="00EB2DE4" w:rsidTr="00C162FA">
        <w:trPr>
          <w:trHeight w:val="576"/>
        </w:trPr>
        <w:tc>
          <w:tcPr>
            <w:tcW w:w="3276" w:type="dxa"/>
            <w:shd w:val="clear" w:color="000000" w:fill="FFE5E5"/>
            <w:noWrap/>
            <w:vAlign w:val="center"/>
          </w:tcPr>
          <w:p w:rsidR="00EB2DE4" w:rsidRDefault="00EB2DE4" w:rsidP="00C162FA">
            <w:pPr>
              <w:rPr>
                <w:rFonts w:ascii="Calibri" w:hAnsi="Calibri" w:cs="Calibri"/>
                <w:color w:val="000000"/>
                <w:sz w:val="22"/>
                <w:szCs w:val="22"/>
              </w:rPr>
            </w:pPr>
            <w:r>
              <w:rPr>
                <w:rFonts w:ascii="Calibri" w:hAnsi="Calibri" w:cs="Calibri"/>
                <w:color w:val="000000"/>
                <w:sz w:val="22"/>
                <w:szCs w:val="22"/>
              </w:rPr>
              <w:t>Не соответствует</w:t>
            </w:r>
          </w:p>
        </w:tc>
        <w:tc>
          <w:tcPr>
            <w:tcW w:w="6443" w:type="dxa"/>
            <w:shd w:val="clear" w:color="000000" w:fill="FFE5E5"/>
            <w:noWrap/>
          </w:tcPr>
          <w:p w:rsidR="00EB2DE4" w:rsidRDefault="00EB2DE4" w:rsidP="00C162FA">
            <w:pPr>
              <w:jc w:val="both"/>
              <w:rPr>
                <w:rFonts w:ascii="Calibri" w:hAnsi="Calibri" w:cs="Calibri"/>
                <w:color w:val="000000"/>
                <w:sz w:val="22"/>
                <w:szCs w:val="22"/>
              </w:rPr>
            </w:pPr>
            <w:r>
              <w:rPr>
                <w:rFonts w:ascii="Calibri" w:hAnsi="Calibri" w:cs="Calibri"/>
                <w:color w:val="000000"/>
                <w:sz w:val="22"/>
                <w:szCs w:val="22"/>
              </w:rPr>
              <w:t xml:space="preserve">Первичная оценка </w:t>
            </w:r>
            <w:r>
              <w:rPr>
                <w:rFonts w:ascii="Calibri" w:hAnsi="Calibri" w:cs="Calibri"/>
                <w:b/>
                <w:color w:val="000000"/>
                <w:sz w:val="22"/>
                <w:szCs w:val="22"/>
              </w:rPr>
              <w:t>менее</w:t>
            </w:r>
            <w:r w:rsidRPr="00117659">
              <w:rPr>
                <w:rFonts w:ascii="Calibri" w:hAnsi="Calibri" w:cs="Calibri"/>
                <w:b/>
                <w:color w:val="000000"/>
                <w:sz w:val="22"/>
                <w:szCs w:val="22"/>
              </w:rPr>
              <w:t xml:space="preserve"> 0,45 баллов</w:t>
            </w:r>
            <w:r>
              <w:rPr>
                <w:rFonts w:ascii="Calibri" w:hAnsi="Calibri" w:cs="Calibri"/>
                <w:color w:val="000000"/>
                <w:sz w:val="22"/>
                <w:szCs w:val="22"/>
              </w:rPr>
              <w:t xml:space="preserve"> (по шкале от 0 до 1) или имеются стоп-факторы</w:t>
            </w:r>
          </w:p>
        </w:tc>
      </w:tr>
      <w:tr w:rsidR="00EB2DE4" w:rsidTr="00C162FA">
        <w:trPr>
          <w:trHeight w:val="1111"/>
        </w:trPr>
        <w:tc>
          <w:tcPr>
            <w:tcW w:w="3276" w:type="dxa"/>
            <w:shd w:val="clear" w:color="000000" w:fill="F8FFB9"/>
            <w:noWrap/>
            <w:vAlign w:val="center"/>
          </w:tcPr>
          <w:p w:rsidR="00EB2DE4" w:rsidRDefault="00EB2DE4" w:rsidP="00C162FA">
            <w:pPr>
              <w:rPr>
                <w:rFonts w:ascii="Calibri" w:hAnsi="Calibri" w:cs="Calibri"/>
                <w:color w:val="000000"/>
                <w:sz w:val="22"/>
                <w:szCs w:val="22"/>
              </w:rPr>
            </w:pPr>
            <w:r>
              <w:rPr>
                <w:rFonts w:ascii="Calibri" w:hAnsi="Calibri" w:cs="Calibri"/>
                <w:color w:val="000000"/>
                <w:sz w:val="22"/>
                <w:szCs w:val="22"/>
              </w:rPr>
              <w:t>Пограничная ситуация (для принятия решения о соответствии/несоответствии требуется участие Эксперта)</w:t>
            </w:r>
          </w:p>
        </w:tc>
        <w:tc>
          <w:tcPr>
            <w:tcW w:w="6443" w:type="dxa"/>
            <w:shd w:val="clear" w:color="000000" w:fill="F8FFB9"/>
            <w:noWrap/>
          </w:tcPr>
          <w:p w:rsidR="00EB2DE4" w:rsidRDefault="00EB2DE4" w:rsidP="00C162FA">
            <w:pPr>
              <w:rPr>
                <w:rFonts w:ascii="Calibri" w:hAnsi="Calibri" w:cs="Calibri"/>
                <w:color w:val="000000"/>
                <w:sz w:val="22"/>
                <w:szCs w:val="22"/>
              </w:rPr>
            </w:pPr>
            <w:r>
              <w:rPr>
                <w:rFonts w:ascii="Calibri" w:hAnsi="Calibri" w:cs="Calibri"/>
                <w:color w:val="000000"/>
                <w:sz w:val="22"/>
                <w:szCs w:val="22"/>
              </w:rPr>
              <w:t xml:space="preserve">Первичная оценка </w:t>
            </w:r>
            <w:r w:rsidRPr="00117659">
              <w:rPr>
                <w:rFonts w:ascii="Calibri" w:hAnsi="Calibri" w:cs="Calibri"/>
                <w:b/>
                <w:color w:val="000000"/>
                <w:sz w:val="22"/>
                <w:szCs w:val="22"/>
              </w:rPr>
              <w:t>от 0,45 до 0,5 баллов</w:t>
            </w:r>
            <w:r>
              <w:rPr>
                <w:rFonts w:ascii="Calibri" w:hAnsi="Calibri" w:cs="Calibri"/>
                <w:color w:val="000000"/>
                <w:sz w:val="22"/>
                <w:szCs w:val="22"/>
              </w:rPr>
              <w:t xml:space="preserve"> (по шкале от 0 до 1) или имеется более двух риск-факторов, стоп-факторы при этом отсутствуют</w:t>
            </w:r>
          </w:p>
        </w:tc>
      </w:tr>
      <w:tr w:rsidR="00EB2DE4" w:rsidTr="00C162FA">
        <w:trPr>
          <w:trHeight w:val="556"/>
        </w:trPr>
        <w:tc>
          <w:tcPr>
            <w:tcW w:w="3276" w:type="dxa"/>
            <w:shd w:val="clear" w:color="000000" w:fill="C6FED1"/>
            <w:noWrap/>
            <w:vAlign w:val="center"/>
          </w:tcPr>
          <w:p w:rsidR="00EB2DE4" w:rsidRDefault="00EB2DE4" w:rsidP="00C162FA">
            <w:pPr>
              <w:rPr>
                <w:rFonts w:ascii="Calibri" w:hAnsi="Calibri" w:cs="Calibri"/>
                <w:color w:val="000000"/>
                <w:sz w:val="22"/>
                <w:szCs w:val="22"/>
              </w:rPr>
            </w:pPr>
            <w:r>
              <w:rPr>
                <w:rFonts w:ascii="Calibri" w:hAnsi="Calibri" w:cs="Calibri"/>
                <w:color w:val="000000"/>
                <w:sz w:val="22"/>
                <w:szCs w:val="22"/>
              </w:rPr>
              <w:lastRenderedPageBreak/>
              <w:t>Соответствует</w:t>
            </w:r>
          </w:p>
        </w:tc>
        <w:tc>
          <w:tcPr>
            <w:tcW w:w="6443" w:type="dxa"/>
            <w:shd w:val="clear" w:color="000000" w:fill="C6FED1"/>
            <w:noWrap/>
          </w:tcPr>
          <w:p w:rsidR="00EB2DE4" w:rsidRDefault="00EB2DE4" w:rsidP="00C162FA">
            <w:pPr>
              <w:jc w:val="both"/>
              <w:rPr>
                <w:rFonts w:ascii="Calibri" w:hAnsi="Calibri" w:cs="Calibri"/>
                <w:color w:val="000000"/>
                <w:sz w:val="22"/>
                <w:szCs w:val="22"/>
              </w:rPr>
            </w:pPr>
            <w:r>
              <w:rPr>
                <w:rFonts w:ascii="Calibri" w:hAnsi="Calibri" w:cs="Calibri"/>
                <w:color w:val="000000"/>
                <w:sz w:val="22"/>
                <w:szCs w:val="22"/>
              </w:rPr>
              <w:t xml:space="preserve">Первичная оценка </w:t>
            </w:r>
            <w:r w:rsidRPr="00117659">
              <w:rPr>
                <w:rFonts w:ascii="Calibri" w:hAnsi="Calibri" w:cs="Calibri"/>
                <w:b/>
                <w:color w:val="000000"/>
                <w:sz w:val="22"/>
                <w:szCs w:val="22"/>
              </w:rPr>
              <w:t>более 0,5 баллов</w:t>
            </w:r>
            <w:r>
              <w:rPr>
                <w:rFonts w:ascii="Calibri" w:hAnsi="Calibri" w:cs="Calibri"/>
                <w:color w:val="000000"/>
                <w:sz w:val="22"/>
                <w:szCs w:val="22"/>
              </w:rPr>
              <w:t xml:space="preserve"> (по шкале от 0 до 1), стоп-факторы отсутствуют, имеется не более двух риск-факторов</w:t>
            </w:r>
          </w:p>
        </w:tc>
      </w:tr>
    </w:tbl>
    <w:p w:rsidR="00EB2DE4" w:rsidRDefault="00EB2DE4" w:rsidP="00EB2DE4">
      <w:pPr>
        <w:jc w:val="both"/>
        <w:rPr>
          <w:rFonts w:ascii="Arial" w:hAnsi="Arial" w:cs="Arial"/>
        </w:rPr>
      </w:pP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E73494">
        <w:rPr>
          <w:rFonts w:ascii="Arial" w:hAnsi="Arial" w:cs="Arial"/>
        </w:rPr>
        <w:t>По итогам отборочной стадии</w:t>
      </w:r>
      <w:r>
        <w:rPr>
          <w:rFonts w:ascii="Arial" w:hAnsi="Arial" w:cs="Arial"/>
        </w:rPr>
        <w:t xml:space="preserve"> в рамках финансово-экономической экспертизы</w:t>
      </w:r>
      <w:r w:rsidRPr="00E73494">
        <w:rPr>
          <w:rFonts w:ascii="Arial" w:hAnsi="Arial" w:cs="Arial"/>
        </w:rPr>
        <w:t xml:space="preserve"> должно быть принято решени</w:t>
      </w:r>
      <w:r>
        <w:rPr>
          <w:rFonts w:ascii="Arial" w:hAnsi="Arial" w:cs="Arial"/>
        </w:rPr>
        <w:t>е</w:t>
      </w:r>
      <w:r w:rsidRPr="00E73494">
        <w:rPr>
          <w:rFonts w:ascii="Arial" w:hAnsi="Arial" w:cs="Arial"/>
        </w:rPr>
        <w:t xml:space="preserve"> о соответствии/несоответствии участника закупочной процедуры требованиям </w:t>
      </w:r>
      <w:r>
        <w:rPr>
          <w:rFonts w:ascii="Arial" w:hAnsi="Arial" w:cs="Arial"/>
        </w:rPr>
        <w:t>закупочной документации, в том числе настоящей м</w:t>
      </w:r>
      <w:r w:rsidRPr="00E73494">
        <w:rPr>
          <w:rFonts w:ascii="Arial" w:hAnsi="Arial" w:cs="Arial"/>
        </w:rPr>
        <w:t xml:space="preserve">етодики. </w:t>
      </w:r>
      <w:r w:rsidRPr="00925685">
        <w:rPr>
          <w:rFonts w:ascii="Arial" w:hAnsi="Arial" w:cs="Arial"/>
        </w:rPr>
        <w:t xml:space="preserve">В случае если на основании применения балльно-весового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w:t>
      </w:r>
      <w:r>
        <w:rPr>
          <w:rFonts w:ascii="Arial" w:hAnsi="Arial" w:cs="Arial"/>
        </w:rPr>
        <w:t>э</w:t>
      </w:r>
      <w:r w:rsidRPr="00925685">
        <w:rPr>
          <w:rFonts w:ascii="Arial" w:hAnsi="Arial" w:cs="Arial"/>
        </w:rPr>
        <w:t xml:space="preserve">ксперта, имеются достаточные основания для повышения оценки до «соответствует» и допуска участника до оценочной стадии, </w:t>
      </w:r>
      <w:r>
        <w:rPr>
          <w:rFonts w:ascii="Arial" w:hAnsi="Arial" w:cs="Arial"/>
        </w:rPr>
        <w:t>э</w:t>
      </w:r>
      <w:r w:rsidRPr="00925685">
        <w:rPr>
          <w:rFonts w:ascii="Arial" w:hAnsi="Arial" w:cs="Arial"/>
        </w:rPr>
        <w:t>кспертом могут быть внесены необходимые корректировки с обоснованием своей позиции в экспертном заключении.</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Pr>
          <w:rFonts w:ascii="Arial" w:hAnsi="Arial" w:cs="Arial"/>
        </w:rPr>
        <w:t>Подробный порядок применения положений методики экспертами на отборочной стадии определен в разделе 11 настоящей методики.</w:t>
      </w:r>
    </w:p>
    <w:p w:rsidR="00EB2DE4" w:rsidRDefault="00EB2DE4" w:rsidP="00EB2DE4">
      <w:pPr>
        <w:pStyle w:val="1"/>
        <w:numPr>
          <w:ilvl w:val="0"/>
          <w:numId w:val="5"/>
        </w:numPr>
        <w:tabs>
          <w:tab w:val="left" w:pos="540"/>
        </w:tabs>
        <w:spacing w:after="240"/>
        <w:ind w:left="357" w:hanging="357"/>
        <w:rPr>
          <w:sz w:val="24"/>
          <w:szCs w:val="24"/>
        </w:rPr>
      </w:pPr>
      <w:bookmarkStart w:id="80" w:name="_Toc370229415"/>
      <w:bookmarkStart w:id="81" w:name="_Toc314226186"/>
      <w:bookmarkStart w:id="82" w:name="_Toc322961184"/>
      <w:bookmarkStart w:id="83" w:name="_Toc326066019"/>
      <w:bookmarkStart w:id="84" w:name="_Toc326066289"/>
      <w:bookmarkStart w:id="85" w:name="_Toc326067320"/>
      <w:bookmarkStart w:id="86" w:name="_Toc370295578"/>
      <w:bookmarkEnd w:id="79"/>
      <w:bookmarkEnd w:id="80"/>
      <w:r w:rsidRPr="00E73494">
        <w:rPr>
          <w:sz w:val="24"/>
          <w:szCs w:val="24"/>
        </w:rPr>
        <w:t>О</w:t>
      </w:r>
      <w:r>
        <w:rPr>
          <w:sz w:val="24"/>
          <w:szCs w:val="24"/>
        </w:rPr>
        <w:t>ценочная стадия</w:t>
      </w:r>
      <w:bookmarkEnd w:id="81"/>
      <w:bookmarkEnd w:id="82"/>
      <w:bookmarkEnd w:id="83"/>
      <w:bookmarkEnd w:id="84"/>
      <w:bookmarkEnd w:id="85"/>
      <w:bookmarkEnd w:id="86"/>
    </w:p>
    <w:p w:rsidR="00EB2DE4" w:rsidRDefault="00EB2DE4" w:rsidP="00EB2DE4">
      <w:pPr>
        <w:numPr>
          <w:ilvl w:val="1"/>
          <w:numId w:val="5"/>
        </w:numPr>
        <w:tabs>
          <w:tab w:val="clear" w:pos="792"/>
          <w:tab w:val="num" w:pos="0"/>
          <w:tab w:val="num" w:pos="574"/>
        </w:tabs>
        <w:spacing w:before="60" w:after="60"/>
        <w:ind w:left="0" w:firstLine="0"/>
        <w:jc w:val="both"/>
        <w:rPr>
          <w:rFonts w:ascii="Arial" w:hAnsi="Arial" w:cs="Arial"/>
        </w:rPr>
      </w:pPr>
      <w:r w:rsidRPr="00C62D61">
        <w:rPr>
          <w:rFonts w:ascii="Arial" w:hAnsi="Arial" w:cs="Arial"/>
        </w:rPr>
        <w:t>На оценочной стадии финансово-экономической экспертизы предложения участников закупочной процедуры, прошедших отборочную стадию, ранжируются с учетом оценки их финансового состояния, качественной оценки бизнес-рисков, а также предлагаемых финансовых условий сделки.</w:t>
      </w:r>
    </w:p>
    <w:p w:rsidR="00EB2DE4" w:rsidRDefault="00EB2DE4" w:rsidP="00EB2DE4">
      <w:pPr>
        <w:numPr>
          <w:ilvl w:val="1"/>
          <w:numId w:val="5"/>
        </w:numPr>
        <w:tabs>
          <w:tab w:val="clear" w:pos="792"/>
          <w:tab w:val="num" w:pos="0"/>
          <w:tab w:val="num" w:pos="574"/>
        </w:tabs>
        <w:spacing w:before="60" w:after="60"/>
        <w:ind w:left="0" w:firstLine="0"/>
        <w:jc w:val="both"/>
        <w:rPr>
          <w:rFonts w:ascii="Arial" w:hAnsi="Arial" w:cs="Arial"/>
        </w:rPr>
      </w:pPr>
      <w:r w:rsidRPr="00C62D61">
        <w:rPr>
          <w:rFonts w:ascii="Arial" w:hAnsi="Arial" w:cs="Arial"/>
        </w:rPr>
        <w:t>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w:t>
      </w:r>
      <w:r>
        <w:rPr>
          <w:rFonts w:ascii="Arial" w:hAnsi="Arial" w:cs="Arial"/>
        </w:rPr>
        <w:t>именения балльно-весового подхода</w:t>
      </w:r>
      <w:r w:rsidRPr="00C62D61">
        <w:rPr>
          <w:rFonts w:ascii="Arial" w:hAnsi="Arial" w:cs="Arial"/>
        </w:rPr>
        <w:t xml:space="preserve">.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w:t>
      </w:r>
      <w:r>
        <w:rPr>
          <w:rFonts w:ascii="Arial" w:hAnsi="Arial" w:cs="Arial"/>
        </w:rPr>
        <w:t>м</w:t>
      </w:r>
      <w:r w:rsidRPr="00C62D61">
        <w:rPr>
          <w:rFonts w:ascii="Arial" w:hAnsi="Arial" w:cs="Arial"/>
        </w:rPr>
        <w:t>етодике ранжир</w:t>
      </w:r>
      <w:r>
        <w:rPr>
          <w:rFonts w:ascii="Arial" w:hAnsi="Arial" w:cs="Arial"/>
        </w:rPr>
        <w:t>ование</w:t>
      </w:r>
      <w:r w:rsidRPr="00C62D61">
        <w:rPr>
          <w:rFonts w:ascii="Arial" w:hAnsi="Arial" w:cs="Arial"/>
        </w:rPr>
        <w:t xml:space="preserve"> осуществляется переводом первичной шкалы от 0 до 1 в шкалу от </w:t>
      </w:r>
      <w:r w:rsidRPr="00751F27">
        <w:rPr>
          <w:rFonts w:ascii="Arial" w:hAnsi="Arial" w:cs="Arial"/>
        </w:rPr>
        <w:t>0</w:t>
      </w:r>
      <w:r w:rsidRPr="00C62D61">
        <w:rPr>
          <w:rFonts w:ascii="Arial" w:hAnsi="Arial" w:cs="Arial"/>
        </w:rPr>
        <w:t xml:space="preserve"> до 5</w:t>
      </w:r>
      <w:r>
        <w:rPr>
          <w:rFonts w:ascii="Arial" w:hAnsi="Arial" w:cs="Arial"/>
        </w:rPr>
        <w:t xml:space="preserve"> (таблица 10. настоящей методики).</w:t>
      </w:r>
    </w:p>
    <w:p w:rsidR="00EB2DE4" w:rsidRDefault="00EB2DE4" w:rsidP="00EB2DE4">
      <w:pPr>
        <w:spacing w:before="120" w:after="120"/>
        <w:ind w:left="792"/>
        <w:jc w:val="right"/>
        <w:rPr>
          <w:rFonts w:ascii="Arial" w:hAnsi="Arial" w:cs="Arial"/>
        </w:rPr>
      </w:pPr>
      <w:r>
        <w:rPr>
          <w:rFonts w:ascii="Arial" w:hAnsi="Arial" w:cs="Arial"/>
        </w:rPr>
        <w:t>Таблица 10. Перевод первичной шкалы.</w:t>
      </w:r>
    </w:p>
    <w:tbl>
      <w:tblPr>
        <w:tblW w:w="9611" w:type="dxa"/>
        <w:jc w:val="center"/>
        <w:tblInd w:w="-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2122"/>
        <w:gridCol w:w="2976"/>
        <w:gridCol w:w="2111"/>
      </w:tblGrid>
      <w:tr w:rsidR="00EB2DE4" w:rsidRPr="00E648C5" w:rsidTr="00C162FA">
        <w:trPr>
          <w:jc w:val="center"/>
        </w:trPr>
        <w:tc>
          <w:tcPr>
            <w:tcW w:w="2402" w:type="dxa"/>
          </w:tcPr>
          <w:p w:rsidR="00EB2DE4" w:rsidRDefault="00EB2DE4" w:rsidP="00C162FA">
            <w:pPr>
              <w:spacing w:after="60"/>
              <w:jc w:val="center"/>
              <w:rPr>
                <w:b/>
              </w:rPr>
            </w:pPr>
            <w:r>
              <w:rPr>
                <w:b/>
              </w:rPr>
              <w:t>Первичный балл (0-1)</w:t>
            </w:r>
          </w:p>
        </w:tc>
        <w:tc>
          <w:tcPr>
            <w:tcW w:w="2122" w:type="dxa"/>
            <w:vAlign w:val="center"/>
          </w:tcPr>
          <w:p w:rsidR="00EB2DE4" w:rsidRPr="00F06FAE" w:rsidRDefault="00EB2DE4" w:rsidP="00C162FA">
            <w:pPr>
              <w:spacing w:after="60"/>
              <w:jc w:val="center"/>
            </w:pPr>
            <w:r>
              <w:t>менее 0,45</w:t>
            </w:r>
          </w:p>
        </w:tc>
        <w:tc>
          <w:tcPr>
            <w:tcW w:w="2976" w:type="dxa"/>
            <w:vAlign w:val="center"/>
          </w:tcPr>
          <w:p w:rsidR="00EB2DE4" w:rsidRPr="00F06FAE" w:rsidRDefault="00EB2DE4" w:rsidP="00C162FA">
            <w:pPr>
              <w:spacing w:after="60"/>
              <w:jc w:val="center"/>
            </w:pPr>
            <w:r>
              <w:t>от 0,45 до 0,95</w:t>
            </w:r>
          </w:p>
        </w:tc>
        <w:tc>
          <w:tcPr>
            <w:tcW w:w="2111" w:type="dxa"/>
            <w:shd w:val="clear" w:color="auto" w:fill="auto"/>
            <w:vAlign w:val="center"/>
          </w:tcPr>
          <w:p w:rsidR="00EB2DE4" w:rsidRPr="00F06FAE" w:rsidRDefault="00EB2DE4" w:rsidP="00C162FA">
            <w:pPr>
              <w:spacing w:after="60"/>
              <w:jc w:val="center"/>
            </w:pPr>
            <w:r>
              <w:t>более 0,95</w:t>
            </w:r>
          </w:p>
        </w:tc>
      </w:tr>
      <w:tr w:rsidR="00EB2DE4" w:rsidRPr="00201036" w:rsidTr="00C162FA">
        <w:trPr>
          <w:trHeight w:val="773"/>
          <w:jc w:val="center"/>
        </w:trPr>
        <w:tc>
          <w:tcPr>
            <w:tcW w:w="2402" w:type="dxa"/>
            <w:vAlign w:val="center"/>
          </w:tcPr>
          <w:p w:rsidR="00EB2DE4" w:rsidRDefault="00EB2DE4" w:rsidP="00C162FA">
            <w:pPr>
              <w:spacing w:after="60"/>
              <w:jc w:val="center"/>
              <w:rPr>
                <w:b/>
                <w:bCs/>
                <w:szCs w:val="28"/>
              </w:rPr>
            </w:pPr>
            <w:r>
              <w:rPr>
                <w:b/>
              </w:rPr>
              <w:t>Итоговая оценка (0-5)</w:t>
            </w:r>
          </w:p>
        </w:tc>
        <w:tc>
          <w:tcPr>
            <w:tcW w:w="2122" w:type="dxa"/>
            <w:vAlign w:val="center"/>
          </w:tcPr>
          <w:p w:rsidR="00EB2DE4" w:rsidRPr="00F06FAE" w:rsidRDefault="00EB2DE4" w:rsidP="00C162FA">
            <w:pPr>
              <w:spacing w:after="60"/>
              <w:jc w:val="center"/>
              <w:rPr>
                <w:bCs/>
                <w:szCs w:val="28"/>
              </w:rPr>
            </w:pPr>
            <w:r>
              <w:rPr>
                <w:bCs/>
                <w:szCs w:val="28"/>
              </w:rPr>
              <w:t>0</w:t>
            </w:r>
          </w:p>
        </w:tc>
        <w:tc>
          <w:tcPr>
            <w:tcW w:w="2976" w:type="dxa"/>
            <w:vAlign w:val="center"/>
          </w:tcPr>
          <w:p w:rsidR="00EB2DE4" w:rsidRPr="00AD4761" w:rsidRDefault="00AD4761" w:rsidP="00C162FA">
            <w:pPr>
              <w:spacing w:after="60"/>
              <w:jc w:val="center"/>
              <w:rPr>
                <w:bCs/>
                <w:szCs w:val="28"/>
              </w:rPr>
            </w:pPr>
            <m:oMathPara>
              <m:oMath>
                <m:r>
                  <w:rPr>
                    <w:rFonts w:ascii="Cambria Math" w:hAnsi="Cambria Math"/>
                    <w:lang w:val="en-US"/>
                  </w:rPr>
                  <m:t>ИО=5*</m:t>
                </m:r>
                <m:sSup>
                  <m:sSupPr>
                    <m:ctrlPr>
                      <w:rPr>
                        <w:rFonts w:ascii="Cambria Math" w:eastAsia="Calibri" w:hAnsi="Cambria Math"/>
                        <w:i/>
                        <w:lang w:val="en-US" w:eastAsia="en-US"/>
                      </w:rPr>
                    </m:ctrlPr>
                  </m:sSupPr>
                  <m:e>
                    <m:f>
                      <m:fPr>
                        <m:ctrlPr>
                          <w:rPr>
                            <w:rFonts w:ascii="Cambria Math" w:eastAsia="Calibri" w:hAnsi="Cambria Math"/>
                            <w:i/>
                            <w:lang w:val="en-US" w:eastAsia="en-US"/>
                          </w:rPr>
                        </m:ctrlPr>
                      </m:fPr>
                      <m:num>
                        <m:r>
                          <w:rPr>
                            <w:rFonts w:ascii="Cambria Math" w:hAnsi="Cambria Math"/>
                            <w:lang w:val="en-US"/>
                          </w:rPr>
                          <m:t>ПБ-0,45</m:t>
                        </m:r>
                      </m:num>
                      <m:den>
                        <m:r>
                          <w:rPr>
                            <w:rFonts w:ascii="Cambria Math" w:hAnsi="Cambria Math"/>
                            <w:lang w:val="en-US"/>
                          </w:rPr>
                          <m:t>0,95-0,45</m:t>
                        </m:r>
                      </m:den>
                    </m:f>
                  </m:e>
                  <m:sup>
                    <m:r>
                      <w:rPr>
                        <w:rFonts w:ascii="Cambria Math" w:hAnsi="Cambria Math"/>
                        <w:lang w:val="en-US"/>
                      </w:rPr>
                      <m:t>*</m:t>
                    </m:r>
                  </m:sup>
                </m:sSup>
              </m:oMath>
            </m:oMathPara>
          </w:p>
        </w:tc>
        <w:tc>
          <w:tcPr>
            <w:tcW w:w="2111" w:type="dxa"/>
            <w:shd w:val="clear" w:color="auto" w:fill="auto"/>
            <w:vAlign w:val="center"/>
          </w:tcPr>
          <w:p w:rsidR="00EB2DE4" w:rsidRPr="00F06FAE" w:rsidRDefault="00EB2DE4" w:rsidP="00C162FA">
            <w:pPr>
              <w:spacing w:after="60"/>
              <w:jc w:val="center"/>
              <w:rPr>
                <w:sz w:val="22"/>
                <w:szCs w:val="22"/>
              </w:rPr>
            </w:pPr>
            <w:r>
              <w:rPr>
                <w:sz w:val="22"/>
                <w:szCs w:val="22"/>
              </w:rPr>
              <w:t>5</w:t>
            </w:r>
          </w:p>
        </w:tc>
      </w:tr>
    </w:tbl>
    <w:p w:rsidR="00EB2DE4" w:rsidRDefault="00EB2DE4" w:rsidP="00EB2DE4">
      <w:pPr>
        <w:spacing w:before="120" w:after="120"/>
        <w:rPr>
          <w:rFonts w:ascii="Arial" w:hAnsi="Arial" w:cs="Arial"/>
          <w:i/>
          <w:sz w:val="20"/>
          <w:szCs w:val="20"/>
        </w:rPr>
      </w:pPr>
      <w:r w:rsidRPr="00B76A80">
        <w:rPr>
          <w:rFonts w:ascii="Arial" w:hAnsi="Arial" w:cs="Arial"/>
          <w:i/>
          <w:sz w:val="20"/>
          <w:szCs w:val="20"/>
        </w:rPr>
        <w:t>*</w:t>
      </w:r>
      <w:r>
        <w:rPr>
          <w:rFonts w:ascii="Arial" w:hAnsi="Arial" w:cs="Arial"/>
          <w:i/>
          <w:sz w:val="20"/>
          <w:szCs w:val="20"/>
        </w:rPr>
        <w:t xml:space="preserve"> </w:t>
      </w:r>
      <w:r w:rsidRPr="00B76A80">
        <w:rPr>
          <w:rFonts w:ascii="Arial" w:hAnsi="Arial" w:cs="Arial"/>
          <w:i/>
          <w:sz w:val="20"/>
          <w:szCs w:val="20"/>
        </w:rPr>
        <w:t>ИО – итоговая оценка; ПБ – первичный балл</w:t>
      </w:r>
      <w:r>
        <w:rPr>
          <w:rFonts w:ascii="Arial" w:hAnsi="Arial" w:cs="Arial"/>
          <w:i/>
          <w:sz w:val="20"/>
          <w:szCs w:val="20"/>
        </w:rPr>
        <w:t>. Итоговая оценка округляется с точностью до одного знака после запятой.</w:t>
      </w:r>
    </w:p>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C62D61">
        <w:rPr>
          <w:rFonts w:ascii="Arial" w:hAnsi="Arial" w:cs="Arial"/>
        </w:rPr>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r>
        <w:rPr>
          <w:rFonts w:ascii="Arial" w:hAnsi="Arial" w:cs="Arial"/>
        </w:rPr>
        <w:t xml:space="preserve"> 11 настоящей методики:</w:t>
      </w:r>
    </w:p>
    <w:p w:rsidR="00EB2DE4" w:rsidRDefault="00EB2DE4" w:rsidP="00EB2DE4">
      <w:pPr>
        <w:spacing w:before="120" w:after="120"/>
        <w:ind w:left="792"/>
        <w:jc w:val="right"/>
        <w:rPr>
          <w:rFonts w:ascii="Arial" w:hAnsi="Arial" w:cs="Arial"/>
        </w:rPr>
      </w:pPr>
      <w:r>
        <w:rPr>
          <w:rFonts w:ascii="Arial" w:hAnsi="Arial" w:cs="Arial"/>
        </w:rPr>
        <w:t xml:space="preserve">Таблица 11. </w:t>
      </w:r>
    </w:p>
    <w:tbl>
      <w:tblPr>
        <w:tblW w:w="9611" w:type="dxa"/>
        <w:jc w:val="center"/>
        <w:tblInd w:w="-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7"/>
        <w:gridCol w:w="1287"/>
        <w:gridCol w:w="3260"/>
        <w:gridCol w:w="3517"/>
      </w:tblGrid>
      <w:tr w:rsidR="00EB2DE4" w:rsidRPr="00B42241" w:rsidTr="00C162FA">
        <w:trPr>
          <w:jc w:val="center"/>
        </w:trPr>
        <w:tc>
          <w:tcPr>
            <w:tcW w:w="1547" w:type="dxa"/>
            <w:tcBorders>
              <w:bottom w:val="single" w:sz="4" w:space="0" w:color="auto"/>
            </w:tcBorders>
          </w:tcPr>
          <w:p w:rsidR="00EB2DE4" w:rsidRDefault="00EB2DE4" w:rsidP="00C162FA">
            <w:pPr>
              <w:spacing w:after="60"/>
              <w:jc w:val="center"/>
              <w:rPr>
                <w:b/>
              </w:rPr>
            </w:pPr>
            <w:r>
              <w:rPr>
                <w:b/>
              </w:rPr>
              <w:t>Первичный балл (0-1)</w:t>
            </w:r>
          </w:p>
        </w:tc>
        <w:tc>
          <w:tcPr>
            <w:tcW w:w="1287" w:type="dxa"/>
            <w:tcBorders>
              <w:bottom w:val="single" w:sz="4" w:space="0" w:color="auto"/>
            </w:tcBorders>
            <w:vAlign w:val="center"/>
          </w:tcPr>
          <w:p w:rsidR="00EB2DE4" w:rsidRPr="00E648C5" w:rsidRDefault="00EB2DE4" w:rsidP="00C162FA">
            <w:pPr>
              <w:spacing w:after="60"/>
              <w:jc w:val="center"/>
              <w:rPr>
                <w:b/>
              </w:rPr>
            </w:pPr>
            <w:r>
              <w:rPr>
                <w:b/>
              </w:rPr>
              <w:t>Итоговая оценка (0-5)</w:t>
            </w:r>
          </w:p>
        </w:tc>
        <w:tc>
          <w:tcPr>
            <w:tcW w:w="3260" w:type="dxa"/>
            <w:tcBorders>
              <w:bottom w:val="single" w:sz="4" w:space="0" w:color="auto"/>
            </w:tcBorders>
            <w:vAlign w:val="center"/>
          </w:tcPr>
          <w:p w:rsidR="00EB2DE4" w:rsidRPr="00E648C5" w:rsidRDefault="00EB2DE4" w:rsidP="00C162FA">
            <w:pPr>
              <w:spacing w:after="60"/>
              <w:jc w:val="center"/>
              <w:rPr>
                <w:b/>
              </w:rPr>
            </w:pPr>
            <w:r>
              <w:rPr>
                <w:b/>
              </w:rPr>
              <w:t>Соответствие Оценки уровню кредитного риска</w:t>
            </w:r>
          </w:p>
        </w:tc>
        <w:tc>
          <w:tcPr>
            <w:tcW w:w="3517" w:type="dxa"/>
            <w:tcBorders>
              <w:bottom w:val="single" w:sz="4" w:space="0" w:color="auto"/>
            </w:tcBorders>
            <w:shd w:val="clear" w:color="auto" w:fill="auto"/>
            <w:vAlign w:val="center"/>
          </w:tcPr>
          <w:p w:rsidR="00EB2DE4" w:rsidRPr="00E648C5" w:rsidRDefault="00EB2DE4" w:rsidP="00C162FA">
            <w:pPr>
              <w:spacing w:after="60"/>
              <w:jc w:val="center"/>
              <w:rPr>
                <w:b/>
              </w:rPr>
            </w:pPr>
            <w:r>
              <w:rPr>
                <w:b/>
              </w:rPr>
              <w:t>Интерпретация полученной Оценки</w:t>
            </w:r>
          </w:p>
        </w:tc>
      </w:tr>
      <w:tr w:rsidR="00EB2DE4" w:rsidRPr="00B42241" w:rsidTr="00C162FA">
        <w:trPr>
          <w:trHeight w:val="270"/>
          <w:jc w:val="center"/>
        </w:trPr>
        <w:tc>
          <w:tcPr>
            <w:tcW w:w="1547" w:type="dxa"/>
            <w:tcBorders>
              <w:bottom w:val="single" w:sz="4" w:space="0" w:color="auto"/>
            </w:tcBorders>
            <w:shd w:val="clear" w:color="auto" w:fill="FF0000"/>
            <w:vAlign w:val="center"/>
          </w:tcPr>
          <w:p w:rsidR="00EB2DE4" w:rsidRDefault="00EB2DE4" w:rsidP="00C162FA">
            <w:pPr>
              <w:spacing w:after="60"/>
              <w:jc w:val="center"/>
              <w:rPr>
                <w:b/>
                <w:bCs/>
                <w:szCs w:val="28"/>
              </w:rPr>
            </w:pPr>
            <w:r>
              <w:rPr>
                <w:b/>
                <w:bCs/>
                <w:szCs w:val="28"/>
              </w:rPr>
              <w:lastRenderedPageBreak/>
              <w:t>0-0,45</w:t>
            </w:r>
          </w:p>
        </w:tc>
        <w:tc>
          <w:tcPr>
            <w:tcW w:w="1287" w:type="dxa"/>
            <w:tcBorders>
              <w:bottom w:val="single" w:sz="4" w:space="0" w:color="auto"/>
            </w:tcBorders>
            <w:shd w:val="clear" w:color="auto" w:fill="FF0000"/>
            <w:vAlign w:val="center"/>
          </w:tcPr>
          <w:p w:rsidR="00EB2DE4" w:rsidRPr="00B42241" w:rsidRDefault="00EB2DE4" w:rsidP="00C162FA">
            <w:pPr>
              <w:spacing w:after="60"/>
              <w:jc w:val="center"/>
              <w:rPr>
                <w:b/>
                <w:bCs/>
                <w:szCs w:val="28"/>
              </w:rPr>
            </w:pPr>
            <w:r>
              <w:rPr>
                <w:b/>
                <w:bCs/>
                <w:szCs w:val="28"/>
              </w:rPr>
              <w:t>0</w:t>
            </w:r>
          </w:p>
        </w:tc>
        <w:tc>
          <w:tcPr>
            <w:tcW w:w="3260" w:type="dxa"/>
            <w:tcBorders>
              <w:bottom w:val="single" w:sz="4" w:space="0" w:color="auto"/>
            </w:tcBorders>
            <w:shd w:val="clear" w:color="auto" w:fill="FF0000"/>
            <w:vAlign w:val="center"/>
          </w:tcPr>
          <w:p w:rsidR="00EB2DE4" w:rsidRPr="00201036" w:rsidRDefault="00EB2DE4" w:rsidP="00C162FA">
            <w:pPr>
              <w:spacing w:after="60"/>
              <w:jc w:val="center"/>
              <w:rPr>
                <w:bCs/>
                <w:szCs w:val="28"/>
              </w:rPr>
            </w:pPr>
            <w:r w:rsidRPr="00201036">
              <w:rPr>
                <w:sz w:val="22"/>
                <w:szCs w:val="22"/>
              </w:rPr>
              <w:t>«Недопустимо высокий</w:t>
            </w:r>
            <w:r w:rsidRPr="00201036">
              <w:rPr>
                <w:bCs/>
                <w:sz w:val="22"/>
                <w:szCs w:val="22"/>
              </w:rPr>
              <w:t xml:space="preserve"> риск»</w:t>
            </w:r>
          </w:p>
        </w:tc>
        <w:tc>
          <w:tcPr>
            <w:tcW w:w="3517" w:type="dxa"/>
            <w:tcBorders>
              <w:bottom w:val="single" w:sz="4" w:space="0" w:color="auto"/>
            </w:tcBorders>
            <w:shd w:val="clear" w:color="auto" w:fill="FF0000"/>
          </w:tcPr>
          <w:p w:rsidR="00EB2DE4" w:rsidRDefault="00EB2DE4" w:rsidP="00C162FA">
            <w:pPr>
              <w:spacing w:after="60"/>
              <w:jc w:val="center"/>
              <w:rPr>
                <w:sz w:val="22"/>
                <w:szCs w:val="22"/>
              </w:rPr>
            </w:pPr>
            <w:r w:rsidRPr="00201036">
              <w:rPr>
                <w:sz w:val="22"/>
                <w:szCs w:val="22"/>
              </w:rPr>
              <w:t>«Неприемлемо»</w:t>
            </w:r>
          </w:p>
          <w:p w:rsidR="00EB2DE4" w:rsidRPr="00201036" w:rsidRDefault="00EB2DE4" w:rsidP="00C162FA">
            <w:pPr>
              <w:spacing w:after="60"/>
              <w:jc w:val="center"/>
              <w:rPr>
                <w:sz w:val="22"/>
                <w:szCs w:val="22"/>
              </w:rPr>
            </w:pPr>
            <w:r w:rsidRPr="00201036">
              <w:rPr>
                <w:i/>
                <w:sz w:val="22"/>
                <w:szCs w:val="22"/>
              </w:rPr>
              <w:t>(предложение участника рекомендуется отклонить)</w:t>
            </w:r>
          </w:p>
        </w:tc>
      </w:tr>
      <w:tr w:rsidR="00EB2DE4" w:rsidRPr="00B42241" w:rsidTr="00C162FA">
        <w:trPr>
          <w:trHeight w:val="303"/>
          <w:jc w:val="center"/>
        </w:trPr>
        <w:tc>
          <w:tcPr>
            <w:tcW w:w="1547" w:type="dxa"/>
            <w:tcBorders>
              <w:bottom w:val="single" w:sz="4" w:space="0" w:color="auto"/>
            </w:tcBorders>
            <w:shd w:val="clear" w:color="auto" w:fill="FFFF00"/>
            <w:vAlign w:val="center"/>
          </w:tcPr>
          <w:p w:rsidR="00EB2DE4" w:rsidRPr="00B42241" w:rsidRDefault="00EB2DE4" w:rsidP="00C162FA">
            <w:pPr>
              <w:spacing w:after="60"/>
              <w:jc w:val="center"/>
              <w:rPr>
                <w:b/>
                <w:bCs/>
                <w:szCs w:val="28"/>
              </w:rPr>
            </w:pPr>
            <w:r>
              <w:rPr>
                <w:b/>
                <w:bCs/>
                <w:szCs w:val="28"/>
              </w:rPr>
              <w:t>0,45-0,55</w:t>
            </w:r>
          </w:p>
        </w:tc>
        <w:tc>
          <w:tcPr>
            <w:tcW w:w="1287" w:type="dxa"/>
            <w:tcBorders>
              <w:bottom w:val="single" w:sz="4" w:space="0" w:color="auto"/>
            </w:tcBorders>
            <w:shd w:val="clear" w:color="auto" w:fill="FFFF00"/>
            <w:vAlign w:val="center"/>
          </w:tcPr>
          <w:p w:rsidR="00EB2DE4" w:rsidRDefault="00EB2DE4" w:rsidP="00C162FA">
            <w:pPr>
              <w:spacing w:after="60"/>
              <w:jc w:val="center"/>
              <w:rPr>
                <w:b/>
                <w:bCs/>
                <w:szCs w:val="28"/>
              </w:rPr>
            </w:pPr>
            <w:r>
              <w:rPr>
                <w:b/>
                <w:bCs/>
                <w:szCs w:val="28"/>
              </w:rPr>
              <w:t>0-</w:t>
            </w:r>
            <w:r w:rsidRPr="00B42241">
              <w:rPr>
                <w:b/>
                <w:bCs/>
                <w:szCs w:val="28"/>
              </w:rPr>
              <w:t>1</w:t>
            </w:r>
          </w:p>
        </w:tc>
        <w:tc>
          <w:tcPr>
            <w:tcW w:w="3260" w:type="dxa"/>
            <w:tcBorders>
              <w:bottom w:val="single" w:sz="4" w:space="0" w:color="auto"/>
            </w:tcBorders>
            <w:shd w:val="clear" w:color="auto" w:fill="FFFF00"/>
            <w:vAlign w:val="center"/>
          </w:tcPr>
          <w:p w:rsidR="00EB2DE4" w:rsidRPr="00201036" w:rsidRDefault="00EB2DE4" w:rsidP="00C162FA">
            <w:pPr>
              <w:spacing w:after="60"/>
              <w:jc w:val="center"/>
              <w:rPr>
                <w:sz w:val="22"/>
                <w:szCs w:val="22"/>
              </w:rPr>
            </w:pPr>
            <w:r w:rsidRPr="00201036">
              <w:rPr>
                <w:sz w:val="22"/>
                <w:szCs w:val="22"/>
              </w:rPr>
              <w:t>«Очень высокий</w:t>
            </w:r>
            <w:r w:rsidRPr="00201036">
              <w:rPr>
                <w:bCs/>
                <w:sz w:val="22"/>
                <w:szCs w:val="22"/>
              </w:rPr>
              <w:t xml:space="preserve"> риск»</w:t>
            </w:r>
          </w:p>
        </w:tc>
        <w:tc>
          <w:tcPr>
            <w:tcW w:w="3517" w:type="dxa"/>
            <w:tcBorders>
              <w:bottom w:val="single" w:sz="4" w:space="0" w:color="auto"/>
            </w:tcBorders>
            <w:shd w:val="clear" w:color="auto" w:fill="FFFF00"/>
          </w:tcPr>
          <w:p w:rsidR="00EB2DE4" w:rsidRPr="00201036" w:rsidRDefault="00EB2DE4" w:rsidP="00C162FA">
            <w:pPr>
              <w:spacing w:after="60"/>
              <w:jc w:val="center"/>
              <w:rPr>
                <w:sz w:val="22"/>
                <w:szCs w:val="22"/>
              </w:rPr>
            </w:pPr>
            <w:r w:rsidRPr="00201036">
              <w:rPr>
                <w:sz w:val="22"/>
                <w:szCs w:val="22"/>
              </w:rPr>
              <w:t>«Минимально приемлемо»</w:t>
            </w:r>
          </w:p>
        </w:tc>
      </w:tr>
      <w:tr w:rsidR="00EB2DE4" w:rsidRPr="00B42241" w:rsidTr="00C162FA">
        <w:trPr>
          <w:trHeight w:val="252"/>
          <w:jc w:val="center"/>
        </w:trPr>
        <w:tc>
          <w:tcPr>
            <w:tcW w:w="1547" w:type="dxa"/>
            <w:tcBorders>
              <w:bottom w:val="single" w:sz="4" w:space="0" w:color="auto"/>
            </w:tcBorders>
            <w:shd w:val="clear" w:color="auto" w:fill="FFFF00"/>
            <w:vAlign w:val="center"/>
          </w:tcPr>
          <w:p w:rsidR="00EB2DE4" w:rsidRPr="00B42241" w:rsidRDefault="00EB2DE4" w:rsidP="00C162FA">
            <w:pPr>
              <w:spacing w:after="60"/>
              <w:jc w:val="center"/>
              <w:rPr>
                <w:b/>
                <w:bCs/>
                <w:szCs w:val="28"/>
              </w:rPr>
            </w:pPr>
            <w:r>
              <w:rPr>
                <w:b/>
                <w:bCs/>
                <w:szCs w:val="28"/>
              </w:rPr>
              <w:t>0,55-0,65</w:t>
            </w:r>
          </w:p>
        </w:tc>
        <w:tc>
          <w:tcPr>
            <w:tcW w:w="1287" w:type="dxa"/>
            <w:tcBorders>
              <w:bottom w:val="single" w:sz="4" w:space="0" w:color="auto"/>
            </w:tcBorders>
            <w:shd w:val="clear" w:color="auto" w:fill="FFFF00"/>
            <w:vAlign w:val="center"/>
          </w:tcPr>
          <w:p w:rsidR="00EB2DE4" w:rsidRPr="00B42241" w:rsidRDefault="00EB2DE4" w:rsidP="00C162FA">
            <w:pPr>
              <w:spacing w:after="60"/>
              <w:jc w:val="center"/>
              <w:rPr>
                <w:b/>
                <w:bCs/>
                <w:szCs w:val="28"/>
              </w:rPr>
            </w:pPr>
            <w:r>
              <w:rPr>
                <w:b/>
                <w:bCs/>
                <w:szCs w:val="28"/>
              </w:rPr>
              <w:t>1-</w:t>
            </w:r>
            <w:r w:rsidRPr="00B42241">
              <w:rPr>
                <w:b/>
                <w:bCs/>
                <w:szCs w:val="28"/>
              </w:rPr>
              <w:t>2</w:t>
            </w:r>
          </w:p>
        </w:tc>
        <w:tc>
          <w:tcPr>
            <w:tcW w:w="3260" w:type="dxa"/>
            <w:tcBorders>
              <w:bottom w:val="single" w:sz="4" w:space="0" w:color="auto"/>
            </w:tcBorders>
            <w:shd w:val="clear" w:color="auto" w:fill="FFFF00"/>
            <w:vAlign w:val="center"/>
          </w:tcPr>
          <w:p w:rsidR="00EB2DE4" w:rsidRPr="00201036" w:rsidRDefault="00EB2DE4" w:rsidP="00C162FA">
            <w:pPr>
              <w:spacing w:after="60"/>
              <w:jc w:val="center"/>
              <w:rPr>
                <w:bCs/>
                <w:szCs w:val="28"/>
              </w:rPr>
            </w:pPr>
            <w:r w:rsidRPr="00201036">
              <w:t>«</w:t>
            </w:r>
            <w:r w:rsidRPr="00201036">
              <w:rPr>
                <w:bCs/>
                <w:sz w:val="22"/>
                <w:szCs w:val="22"/>
              </w:rPr>
              <w:t>Повышенный риск»</w:t>
            </w:r>
          </w:p>
        </w:tc>
        <w:tc>
          <w:tcPr>
            <w:tcW w:w="3517" w:type="dxa"/>
            <w:tcBorders>
              <w:bottom w:val="single" w:sz="4" w:space="0" w:color="auto"/>
            </w:tcBorders>
            <w:shd w:val="clear" w:color="auto" w:fill="FFFF00"/>
          </w:tcPr>
          <w:p w:rsidR="00EB2DE4" w:rsidRPr="00201036" w:rsidRDefault="00EB2DE4" w:rsidP="00C162FA">
            <w:pPr>
              <w:spacing w:after="60"/>
              <w:jc w:val="center"/>
              <w:rPr>
                <w:sz w:val="22"/>
                <w:szCs w:val="22"/>
              </w:rPr>
            </w:pPr>
            <w:r w:rsidRPr="00201036">
              <w:rPr>
                <w:sz w:val="22"/>
                <w:szCs w:val="22"/>
              </w:rPr>
              <w:t>«Удовлетворительно»</w:t>
            </w:r>
          </w:p>
        </w:tc>
      </w:tr>
      <w:tr w:rsidR="00EB2DE4" w:rsidRPr="00B42241" w:rsidTr="00C162FA">
        <w:trPr>
          <w:jc w:val="center"/>
        </w:trPr>
        <w:tc>
          <w:tcPr>
            <w:tcW w:w="1547" w:type="dxa"/>
            <w:shd w:val="clear" w:color="auto" w:fill="92D050"/>
            <w:vAlign w:val="center"/>
          </w:tcPr>
          <w:p w:rsidR="00EB2DE4" w:rsidRPr="00B42241" w:rsidRDefault="00EB2DE4" w:rsidP="00C162FA">
            <w:pPr>
              <w:spacing w:after="60"/>
              <w:jc w:val="center"/>
              <w:rPr>
                <w:b/>
                <w:bCs/>
                <w:szCs w:val="28"/>
              </w:rPr>
            </w:pPr>
            <w:r>
              <w:rPr>
                <w:b/>
                <w:bCs/>
                <w:szCs w:val="28"/>
              </w:rPr>
              <w:t>0,65-0,75</w:t>
            </w:r>
          </w:p>
        </w:tc>
        <w:tc>
          <w:tcPr>
            <w:tcW w:w="1287" w:type="dxa"/>
            <w:shd w:val="clear" w:color="auto" w:fill="92D050"/>
            <w:vAlign w:val="center"/>
          </w:tcPr>
          <w:p w:rsidR="00EB2DE4" w:rsidRPr="00B42241" w:rsidRDefault="00EB2DE4" w:rsidP="00C162FA">
            <w:pPr>
              <w:spacing w:after="60"/>
              <w:jc w:val="center"/>
              <w:rPr>
                <w:b/>
                <w:bCs/>
                <w:szCs w:val="28"/>
              </w:rPr>
            </w:pPr>
            <w:r>
              <w:rPr>
                <w:b/>
                <w:bCs/>
                <w:szCs w:val="28"/>
              </w:rPr>
              <w:t>2-</w:t>
            </w:r>
            <w:r w:rsidRPr="00B42241">
              <w:rPr>
                <w:b/>
                <w:bCs/>
                <w:szCs w:val="28"/>
              </w:rPr>
              <w:t>3</w:t>
            </w:r>
          </w:p>
        </w:tc>
        <w:tc>
          <w:tcPr>
            <w:tcW w:w="3260" w:type="dxa"/>
            <w:shd w:val="clear" w:color="auto" w:fill="92D050"/>
            <w:vAlign w:val="center"/>
          </w:tcPr>
          <w:p w:rsidR="00EB2DE4" w:rsidRPr="00201036" w:rsidRDefault="00EB2DE4" w:rsidP="00C162FA">
            <w:pPr>
              <w:spacing w:after="60"/>
              <w:jc w:val="center"/>
              <w:rPr>
                <w:bCs/>
                <w:szCs w:val="28"/>
              </w:rPr>
            </w:pPr>
            <w:r w:rsidRPr="00201036">
              <w:rPr>
                <w:bCs/>
                <w:sz w:val="22"/>
                <w:szCs w:val="22"/>
              </w:rPr>
              <w:t>«Вполне приемлемый риск</w:t>
            </w:r>
          </w:p>
        </w:tc>
        <w:tc>
          <w:tcPr>
            <w:tcW w:w="3517" w:type="dxa"/>
            <w:shd w:val="clear" w:color="auto" w:fill="92D050"/>
          </w:tcPr>
          <w:p w:rsidR="00EB2DE4" w:rsidRDefault="00EB2DE4" w:rsidP="00C162FA">
            <w:pPr>
              <w:spacing w:after="60"/>
              <w:jc w:val="center"/>
              <w:rPr>
                <w:sz w:val="22"/>
                <w:szCs w:val="22"/>
              </w:rPr>
            </w:pPr>
            <w:r w:rsidRPr="00201036">
              <w:rPr>
                <w:sz w:val="22"/>
                <w:szCs w:val="22"/>
              </w:rPr>
              <w:t>«Хорошо»</w:t>
            </w:r>
          </w:p>
          <w:p w:rsidR="00EB2DE4" w:rsidRPr="00201036" w:rsidRDefault="00EB2DE4" w:rsidP="00C162FA">
            <w:pPr>
              <w:spacing w:after="60"/>
              <w:jc w:val="center"/>
              <w:rPr>
                <w:sz w:val="22"/>
                <w:szCs w:val="22"/>
              </w:rPr>
            </w:pPr>
            <w:r w:rsidRPr="00201036">
              <w:rPr>
                <w:i/>
                <w:sz w:val="22"/>
                <w:szCs w:val="22"/>
              </w:rPr>
              <w:t>(</w:t>
            </w:r>
            <w:r>
              <w:rPr>
                <w:i/>
                <w:sz w:val="22"/>
                <w:szCs w:val="22"/>
              </w:rPr>
              <w:t xml:space="preserve">финансовое состояние </w:t>
            </w:r>
            <w:r w:rsidRPr="00201036">
              <w:rPr>
                <w:i/>
                <w:sz w:val="22"/>
                <w:szCs w:val="22"/>
              </w:rPr>
              <w:t>соответствует требованиям закупочной документации)</w:t>
            </w:r>
          </w:p>
        </w:tc>
      </w:tr>
      <w:tr w:rsidR="00EB2DE4" w:rsidRPr="00B42241" w:rsidTr="00C162FA">
        <w:trPr>
          <w:trHeight w:val="155"/>
          <w:jc w:val="center"/>
        </w:trPr>
        <w:tc>
          <w:tcPr>
            <w:tcW w:w="1547" w:type="dxa"/>
            <w:shd w:val="clear" w:color="auto" w:fill="92D050"/>
            <w:vAlign w:val="center"/>
          </w:tcPr>
          <w:p w:rsidR="00EB2DE4" w:rsidRPr="00B42241" w:rsidRDefault="00EB2DE4" w:rsidP="00C162FA">
            <w:pPr>
              <w:spacing w:after="60"/>
              <w:jc w:val="center"/>
              <w:rPr>
                <w:b/>
                <w:bCs/>
                <w:szCs w:val="28"/>
              </w:rPr>
            </w:pPr>
            <w:r>
              <w:rPr>
                <w:b/>
                <w:bCs/>
                <w:szCs w:val="28"/>
              </w:rPr>
              <w:t>0,75-0,85</w:t>
            </w:r>
          </w:p>
        </w:tc>
        <w:tc>
          <w:tcPr>
            <w:tcW w:w="1287" w:type="dxa"/>
            <w:shd w:val="clear" w:color="auto" w:fill="92D050"/>
            <w:vAlign w:val="center"/>
          </w:tcPr>
          <w:p w:rsidR="00EB2DE4" w:rsidRPr="00B42241" w:rsidRDefault="00EB2DE4" w:rsidP="00C162FA">
            <w:pPr>
              <w:spacing w:after="60"/>
              <w:jc w:val="center"/>
              <w:rPr>
                <w:b/>
                <w:bCs/>
                <w:szCs w:val="28"/>
              </w:rPr>
            </w:pPr>
            <w:r>
              <w:rPr>
                <w:b/>
                <w:bCs/>
                <w:szCs w:val="28"/>
              </w:rPr>
              <w:t>3-</w:t>
            </w:r>
            <w:r w:rsidRPr="00B42241">
              <w:rPr>
                <w:b/>
                <w:bCs/>
                <w:szCs w:val="28"/>
              </w:rPr>
              <w:t>4</w:t>
            </w:r>
          </w:p>
        </w:tc>
        <w:tc>
          <w:tcPr>
            <w:tcW w:w="3260" w:type="dxa"/>
            <w:shd w:val="clear" w:color="auto" w:fill="92D050"/>
            <w:vAlign w:val="center"/>
          </w:tcPr>
          <w:p w:rsidR="00EB2DE4" w:rsidRPr="00201036" w:rsidRDefault="00EB2DE4" w:rsidP="00C162FA">
            <w:pPr>
              <w:spacing w:after="60"/>
              <w:jc w:val="center"/>
              <w:rPr>
                <w:bCs/>
                <w:szCs w:val="28"/>
              </w:rPr>
            </w:pPr>
            <w:r w:rsidRPr="00201036">
              <w:rPr>
                <w:bCs/>
                <w:sz w:val="22"/>
                <w:szCs w:val="22"/>
              </w:rPr>
              <w:t>«Приемлемый риск»</w:t>
            </w:r>
          </w:p>
        </w:tc>
        <w:tc>
          <w:tcPr>
            <w:tcW w:w="3517" w:type="dxa"/>
            <w:shd w:val="clear" w:color="auto" w:fill="92D050"/>
          </w:tcPr>
          <w:p w:rsidR="00EB2DE4" w:rsidRPr="00201036" w:rsidRDefault="00EB2DE4" w:rsidP="00C162FA">
            <w:pPr>
              <w:spacing w:after="60"/>
              <w:jc w:val="center"/>
              <w:rPr>
                <w:sz w:val="22"/>
                <w:szCs w:val="22"/>
              </w:rPr>
            </w:pPr>
            <w:r w:rsidRPr="00201036">
              <w:rPr>
                <w:sz w:val="22"/>
                <w:szCs w:val="22"/>
              </w:rPr>
              <w:t>«Очень хорошо»</w:t>
            </w:r>
          </w:p>
        </w:tc>
      </w:tr>
      <w:tr w:rsidR="00EB2DE4" w:rsidRPr="00B42241" w:rsidTr="00C162FA">
        <w:trPr>
          <w:jc w:val="center"/>
        </w:trPr>
        <w:tc>
          <w:tcPr>
            <w:tcW w:w="1547" w:type="dxa"/>
            <w:shd w:val="clear" w:color="auto" w:fill="92D050"/>
            <w:vAlign w:val="center"/>
          </w:tcPr>
          <w:p w:rsidR="00EB2DE4" w:rsidRPr="00B42241" w:rsidRDefault="00EB2DE4" w:rsidP="00C162FA">
            <w:pPr>
              <w:spacing w:after="60"/>
              <w:jc w:val="center"/>
              <w:rPr>
                <w:b/>
                <w:bCs/>
                <w:szCs w:val="28"/>
              </w:rPr>
            </w:pPr>
            <w:r>
              <w:rPr>
                <w:b/>
                <w:bCs/>
                <w:szCs w:val="28"/>
              </w:rPr>
              <w:t>0,85-1</w:t>
            </w:r>
          </w:p>
        </w:tc>
        <w:tc>
          <w:tcPr>
            <w:tcW w:w="1287" w:type="dxa"/>
            <w:shd w:val="clear" w:color="auto" w:fill="92D050"/>
            <w:vAlign w:val="center"/>
          </w:tcPr>
          <w:p w:rsidR="00EB2DE4" w:rsidRPr="00B42241" w:rsidRDefault="00EB2DE4" w:rsidP="00C162FA">
            <w:pPr>
              <w:keepNext/>
              <w:spacing w:after="60"/>
              <w:jc w:val="center"/>
              <w:rPr>
                <w:b/>
                <w:bCs/>
                <w:szCs w:val="28"/>
              </w:rPr>
            </w:pPr>
            <w:r>
              <w:rPr>
                <w:b/>
                <w:bCs/>
                <w:szCs w:val="28"/>
              </w:rPr>
              <w:t>4-</w:t>
            </w:r>
            <w:r w:rsidRPr="00B42241">
              <w:rPr>
                <w:b/>
                <w:bCs/>
                <w:szCs w:val="28"/>
              </w:rPr>
              <w:t>5</w:t>
            </w:r>
          </w:p>
        </w:tc>
        <w:tc>
          <w:tcPr>
            <w:tcW w:w="3260" w:type="dxa"/>
            <w:shd w:val="clear" w:color="auto" w:fill="92D050"/>
            <w:vAlign w:val="center"/>
          </w:tcPr>
          <w:p w:rsidR="00EB2DE4" w:rsidRPr="00201036" w:rsidRDefault="00EB2DE4" w:rsidP="00C162FA">
            <w:pPr>
              <w:keepNext/>
              <w:spacing w:after="60"/>
              <w:jc w:val="center"/>
              <w:rPr>
                <w:bCs/>
                <w:szCs w:val="28"/>
              </w:rPr>
            </w:pPr>
            <w:r w:rsidRPr="00201036">
              <w:rPr>
                <w:bCs/>
                <w:sz w:val="22"/>
                <w:szCs w:val="22"/>
              </w:rPr>
              <w:t>«Минимальный риск»</w:t>
            </w:r>
          </w:p>
        </w:tc>
        <w:tc>
          <w:tcPr>
            <w:tcW w:w="3517" w:type="dxa"/>
            <w:shd w:val="clear" w:color="auto" w:fill="92D050"/>
          </w:tcPr>
          <w:p w:rsidR="00EB2DE4" w:rsidRPr="00201036" w:rsidRDefault="00EB2DE4" w:rsidP="00C162FA">
            <w:pPr>
              <w:keepNext/>
              <w:spacing w:after="60"/>
              <w:jc w:val="center"/>
              <w:rPr>
                <w:sz w:val="22"/>
                <w:szCs w:val="22"/>
              </w:rPr>
            </w:pPr>
            <w:r w:rsidRPr="00201036">
              <w:rPr>
                <w:sz w:val="22"/>
                <w:szCs w:val="22"/>
              </w:rPr>
              <w:t>«Отлично»</w:t>
            </w:r>
          </w:p>
        </w:tc>
      </w:tr>
    </w:tbl>
    <w:p w:rsidR="00EB2DE4" w:rsidRDefault="00EB2DE4" w:rsidP="00EB2DE4">
      <w:pPr>
        <w:numPr>
          <w:ilvl w:val="1"/>
          <w:numId w:val="5"/>
        </w:numPr>
        <w:tabs>
          <w:tab w:val="clear" w:pos="792"/>
          <w:tab w:val="num" w:pos="0"/>
          <w:tab w:val="num" w:pos="574"/>
        </w:tabs>
        <w:spacing w:before="120" w:after="120"/>
        <w:ind w:left="0" w:firstLine="0"/>
        <w:jc w:val="both"/>
        <w:rPr>
          <w:rFonts w:ascii="Arial" w:hAnsi="Arial" w:cs="Arial"/>
        </w:rPr>
      </w:pPr>
      <w:r w:rsidRPr="003C026E">
        <w:rPr>
          <w:rFonts w:ascii="Arial" w:hAnsi="Arial" w:cs="Arial"/>
        </w:rPr>
        <w:t xml:space="preserve">Подробный порядок применения положений </w:t>
      </w:r>
      <w:r>
        <w:rPr>
          <w:rFonts w:ascii="Arial" w:hAnsi="Arial" w:cs="Arial"/>
        </w:rPr>
        <w:t>м</w:t>
      </w:r>
      <w:r w:rsidRPr="003C026E">
        <w:rPr>
          <w:rFonts w:ascii="Arial" w:hAnsi="Arial" w:cs="Arial"/>
        </w:rPr>
        <w:t xml:space="preserve">етодики </w:t>
      </w:r>
      <w:r>
        <w:rPr>
          <w:rFonts w:ascii="Arial" w:hAnsi="Arial" w:cs="Arial"/>
        </w:rPr>
        <w:t>э</w:t>
      </w:r>
      <w:r w:rsidRPr="003C026E">
        <w:rPr>
          <w:rFonts w:ascii="Arial" w:hAnsi="Arial" w:cs="Arial"/>
        </w:rPr>
        <w:t xml:space="preserve">кспертами на </w:t>
      </w:r>
      <w:r>
        <w:rPr>
          <w:rFonts w:ascii="Arial" w:hAnsi="Arial" w:cs="Arial"/>
        </w:rPr>
        <w:t>оценочной</w:t>
      </w:r>
      <w:r w:rsidRPr="003C026E">
        <w:rPr>
          <w:rFonts w:ascii="Arial" w:hAnsi="Arial" w:cs="Arial"/>
        </w:rPr>
        <w:t xml:space="preserve"> стадии определен в </w:t>
      </w:r>
      <w:r>
        <w:rPr>
          <w:rFonts w:ascii="Arial" w:hAnsi="Arial" w:cs="Arial"/>
        </w:rPr>
        <w:t xml:space="preserve">Разделе 11 </w:t>
      </w:r>
      <w:r w:rsidRPr="003C026E">
        <w:rPr>
          <w:rFonts w:ascii="Arial" w:hAnsi="Arial" w:cs="Arial"/>
        </w:rPr>
        <w:t xml:space="preserve"> </w:t>
      </w:r>
      <w:r>
        <w:rPr>
          <w:rFonts w:ascii="Arial" w:hAnsi="Arial" w:cs="Arial"/>
        </w:rPr>
        <w:t>настоящей м</w:t>
      </w:r>
      <w:r w:rsidRPr="003C026E">
        <w:rPr>
          <w:rFonts w:ascii="Arial" w:hAnsi="Arial" w:cs="Arial"/>
        </w:rPr>
        <w:t>етодик</w:t>
      </w:r>
      <w:r>
        <w:rPr>
          <w:rFonts w:ascii="Arial" w:hAnsi="Arial" w:cs="Arial"/>
        </w:rPr>
        <w:t>и.</w:t>
      </w:r>
    </w:p>
    <w:p w:rsidR="00EB2DE4" w:rsidRDefault="00EB2DE4" w:rsidP="00EB2DE4">
      <w:pPr>
        <w:numPr>
          <w:ilvl w:val="0"/>
          <w:numId w:val="5"/>
        </w:numPr>
        <w:jc w:val="both"/>
        <w:rPr>
          <w:rStyle w:val="10"/>
          <w:sz w:val="24"/>
          <w:szCs w:val="24"/>
        </w:rPr>
      </w:pPr>
      <w:bookmarkStart w:id="87" w:name="_Toc370229417"/>
      <w:bookmarkStart w:id="88" w:name="_Toc370295579"/>
      <w:bookmarkEnd w:id="87"/>
      <w:r w:rsidRPr="00E901F5">
        <w:rPr>
          <w:rStyle w:val="10"/>
          <w:sz w:val="24"/>
          <w:szCs w:val="24"/>
        </w:rPr>
        <w:t>А</w:t>
      </w:r>
      <w:r>
        <w:rPr>
          <w:rStyle w:val="10"/>
          <w:sz w:val="24"/>
          <w:szCs w:val="24"/>
        </w:rPr>
        <w:t>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Pr="00751F27">
        <w:rPr>
          <w:rStyle w:val="10"/>
          <w:sz w:val="24"/>
          <w:szCs w:val="24"/>
        </w:rPr>
        <w:t>.</w:t>
      </w:r>
      <w:r>
        <w:rPr>
          <w:rStyle w:val="10"/>
          <w:sz w:val="24"/>
          <w:szCs w:val="24"/>
          <w:lang w:val="en-US"/>
        </w:rPr>
        <w:t>xls</w:t>
      </w:r>
      <w:r>
        <w:rPr>
          <w:rStyle w:val="10"/>
          <w:sz w:val="24"/>
          <w:szCs w:val="24"/>
        </w:rPr>
        <w:t>»</w:t>
      </w:r>
      <w:bookmarkEnd w:id="88"/>
    </w:p>
    <w:p w:rsidR="00EB2DE4" w:rsidRPr="006344E7" w:rsidRDefault="00EB2DE4" w:rsidP="00EB2DE4"/>
    <w:p w:rsidR="00EB2DE4" w:rsidRPr="00346364" w:rsidRDefault="00EB2DE4" w:rsidP="00EB2DE4">
      <w:pPr>
        <w:numPr>
          <w:ilvl w:val="1"/>
          <w:numId w:val="5"/>
        </w:numPr>
        <w:tabs>
          <w:tab w:val="clear" w:pos="792"/>
          <w:tab w:val="num" w:pos="567"/>
        </w:tabs>
        <w:spacing w:before="120" w:after="120"/>
        <w:ind w:left="426"/>
        <w:rPr>
          <w:rFonts w:ascii="Arial" w:hAnsi="Arial" w:cs="Arial"/>
        </w:rPr>
      </w:pPr>
      <w:r w:rsidRPr="00346364">
        <w:rPr>
          <w:rFonts w:ascii="Arial" w:hAnsi="Arial" w:cs="Arial"/>
        </w:rPr>
        <w:t>Формат заключения</w:t>
      </w:r>
    </w:p>
    <w:p w:rsidR="00EB2DE4" w:rsidRPr="00ED1456" w:rsidRDefault="00EB2DE4" w:rsidP="00EB2DE4">
      <w:pPr>
        <w:numPr>
          <w:ilvl w:val="2"/>
          <w:numId w:val="5"/>
        </w:numPr>
        <w:tabs>
          <w:tab w:val="clear" w:pos="1584"/>
          <w:tab w:val="num" w:pos="0"/>
        </w:tabs>
        <w:ind w:left="0" w:firstLine="0"/>
        <w:jc w:val="both"/>
        <w:rPr>
          <w:rFonts w:ascii="Arial" w:hAnsi="Arial" w:cs="Arial"/>
          <w:b/>
        </w:rPr>
      </w:pPr>
      <w:r w:rsidRPr="00ED1456">
        <w:rPr>
          <w:rFonts w:ascii="Arial" w:hAnsi="Arial" w:cs="Arial"/>
        </w:rPr>
        <w:t xml:space="preserve">Для реализации подхода к проведению финансово-экономической экспертизы согласно </w:t>
      </w:r>
      <w:r>
        <w:rPr>
          <w:rFonts w:ascii="Arial" w:hAnsi="Arial" w:cs="Arial"/>
        </w:rPr>
        <w:t>настоящей м</w:t>
      </w:r>
      <w:r w:rsidRPr="00ED1456">
        <w:rPr>
          <w:rFonts w:ascii="Arial" w:hAnsi="Arial" w:cs="Arial"/>
        </w:rPr>
        <w:t>етодике Финансово-экономическим центром ОАО «Интер РАО» разработан шаблон «Финэкспертиза.</w:t>
      </w:r>
      <w:r w:rsidRPr="00ED1456">
        <w:rPr>
          <w:rFonts w:ascii="Arial" w:hAnsi="Arial" w:cs="Arial"/>
          <w:lang w:val="en-US"/>
        </w:rPr>
        <w:t>xls</w:t>
      </w:r>
      <w:r w:rsidRPr="00ED1456">
        <w:rPr>
          <w:rFonts w:ascii="Arial" w:hAnsi="Arial" w:cs="Arial"/>
        </w:rPr>
        <w:t xml:space="preserve">» (файл в формате </w:t>
      </w:r>
      <w:r w:rsidRPr="00ED1456">
        <w:rPr>
          <w:rFonts w:ascii="Arial" w:hAnsi="Arial" w:cs="Arial"/>
          <w:lang w:val="en-US"/>
        </w:rPr>
        <w:t>MS</w:t>
      </w:r>
      <w:r w:rsidRPr="00ED1456">
        <w:rPr>
          <w:rFonts w:ascii="Arial" w:hAnsi="Arial" w:cs="Arial"/>
        </w:rPr>
        <w:t xml:space="preserve"> </w:t>
      </w:r>
      <w:r w:rsidRPr="00ED1456">
        <w:rPr>
          <w:rFonts w:ascii="Arial" w:hAnsi="Arial" w:cs="Arial"/>
          <w:lang w:val="en-US"/>
        </w:rPr>
        <w:t>Excel</w:t>
      </w:r>
      <w:r w:rsidRPr="00ED1456">
        <w:rPr>
          <w:rFonts w:ascii="Arial" w:hAnsi="Arial" w:cs="Arial"/>
        </w:rPr>
        <w:t xml:space="preserve">),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w:t>
      </w:r>
    </w:p>
    <w:p w:rsidR="00EB2DE4" w:rsidRPr="00ED1456" w:rsidRDefault="00EB2DE4" w:rsidP="00EB2DE4">
      <w:pPr>
        <w:numPr>
          <w:ilvl w:val="2"/>
          <w:numId w:val="5"/>
        </w:numPr>
        <w:tabs>
          <w:tab w:val="clear" w:pos="1584"/>
          <w:tab w:val="num" w:pos="0"/>
        </w:tabs>
        <w:ind w:left="0" w:firstLine="0"/>
        <w:jc w:val="both"/>
        <w:rPr>
          <w:rFonts w:ascii="Arial" w:hAnsi="Arial" w:cs="Arial"/>
          <w:b/>
        </w:rPr>
      </w:pPr>
      <w:r w:rsidRPr="00ED1456">
        <w:rPr>
          <w:rFonts w:ascii="Arial" w:hAnsi="Arial" w:cs="Arial"/>
        </w:rPr>
        <w:t xml:space="preserve">Заключение по направлению финансово-экономической экспертизы готовится </w:t>
      </w:r>
      <w:r>
        <w:rPr>
          <w:rFonts w:ascii="Arial" w:hAnsi="Arial" w:cs="Arial"/>
        </w:rPr>
        <w:t>э</w:t>
      </w:r>
      <w:r w:rsidRPr="00ED1456">
        <w:rPr>
          <w:rFonts w:ascii="Arial" w:hAnsi="Arial" w:cs="Arial"/>
        </w:rPr>
        <w:t xml:space="preserve">кспертом по форме, </w:t>
      </w:r>
      <w:r>
        <w:rPr>
          <w:rFonts w:ascii="Arial" w:hAnsi="Arial" w:cs="Arial"/>
        </w:rPr>
        <w:t>установленной в П</w:t>
      </w:r>
      <w:r w:rsidRPr="00ED1456">
        <w:rPr>
          <w:rFonts w:ascii="Arial" w:hAnsi="Arial" w:cs="Arial"/>
        </w:rPr>
        <w:t xml:space="preserve">риложении </w:t>
      </w:r>
      <w:r>
        <w:rPr>
          <w:rFonts w:ascii="Arial" w:hAnsi="Arial" w:cs="Arial"/>
        </w:rPr>
        <w:t>№ 2 к настоящей методике</w:t>
      </w:r>
      <w:r w:rsidRPr="00ED1456">
        <w:rPr>
          <w:rFonts w:ascii="Arial" w:hAnsi="Arial" w:cs="Arial"/>
        </w:rPr>
        <w:t>. Формат таблицы в приложении полностью соответствует формату шаблона «Финэкспертиза.</w:t>
      </w:r>
      <w:r w:rsidRPr="00ED1456">
        <w:rPr>
          <w:rFonts w:ascii="Arial" w:hAnsi="Arial" w:cs="Arial"/>
          <w:lang w:val="en-US"/>
        </w:rPr>
        <w:t>xls</w:t>
      </w:r>
      <w:r w:rsidRPr="00ED1456">
        <w:rPr>
          <w:rFonts w:ascii="Arial" w:hAnsi="Arial" w:cs="Arial"/>
        </w:rPr>
        <w:t>», используемого для расчёта финансовых коэффициентов.</w:t>
      </w:r>
    </w:p>
    <w:p w:rsidR="00EB2DE4" w:rsidRPr="00346364" w:rsidRDefault="00EB2DE4" w:rsidP="00EB2DE4">
      <w:pPr>
        <w:numPr>
          <w:ilvl w:val="1"/>
          <w:numId w:val="5"/>
        </w:numPr>
        <w:tabs>
          <w:tab w:val="clear" w:pos="792"/>
          <w:tab w:val="num" w:pos="574"/>
        </w:tabs>
        <w:spacing w:before="120" w:after="120"/>
        <w:ind w:left="426"/>
        <w:rPr>
          <w:rFonts w:ascii="Arial" w:hAnsi="Arial" w:cs="Arial"/>
        </w:rPr>
      </w:pPr>
      <w:r w:rsidRPr="00346364">
        <w:rPr>
          <w:rFonts w:ascii="Arial" w:hAnsi="Arial" w:cs="Arial"/>
        </w:rPr>
        <w:t>Оценка по критериям и подготовка заключения</w:t>
      </w:r>
    </w:p>
    <w:p w:rsidR="00EB2DE4" w:rsidRDefault="00EB2DE4" w:rsidP="00EB2DE4">
      <w:pPr>
        <w:numPr>
          <w:ilvl w:val="2"/>
          <w:numId w:val="5"/>
        </w:numPr>
        <w:tabs>
          <w:tab w:val="clear" w:pos="1584"/>
          <w:tab w:val="num" w:pos="0"/>
        </w:tabs>
        <w:spacing w:after="60"/>
        <w:ind w:left="0" w:firstLine="0"/>
        <w:jc w:val="both"/>
        <w:rPr>
          <w:rFonts w:ascii="Arial" w:hAnsi="Arial" w:cs="Arial"/>
        </w:rPr>
      </w:pPr>
      <w:r w:rsidRPr="00E901F5">
        <w:rPr>
          <w:rFonts w:ascii="Arial" w:hAnsi="Arial" w:cs="Arial"/>
        </w:rPr>
        <w:t xml:space="preserve">Перед началом рассмотрения и оценки предложений участников закупочной процедуры </w:t>
      </w:r>
      <w:r>
        <w:rPr>
          <w:rFonts w:ascii="Arial" w:hAnsi="Arial" w:cs="Arial"/>
        </w:rPr>
        <w:t>Э</w:t>
      </w:r>
      <w:r w:rsidRPr="00E901F5">
        <w:rPr>
          <w:rFonts w:ascii="Arial" w:hAnsi="Arial" w:cs="Arial"/>
        </w:rPr>
        <w:t>ксперт должен ознакомиться с условиями закупочной процедуры, изложенными в извещении о проведении закупочной процедуры и закупочной документации. Эксперт должен проверить наличие и полноту документов, необходимых для проведения финансово-экономической экспертизы.</w:t>
      </w:r>
      <w:r>
        <w:rPr>
          <w:rFonts w:ascii="Arial" w:hAnsi="Arial" w:cs="Arial"/>
        </w:rPr>
        <w:t xml:space="preserve"> </w:t>
      </w:r>
      <w:r w:rsidRPr="00E901F5">
        <w:rPr>
          <w:rFonts w:ascii="Arial" w:hAnsi="Arial" w:cs="Arial"/>
        </w:rPr>
        <w:t xml:space="preserve">Эксперт вправе предложить </w:t>
      </w:r>
      <w:r>
        <w:rPr>
          <w:rFonts w:ascii="Arial" w:hAnsi="Arial" w:cs="Arial"/>
        </w:rPr>
        <w:t>з</w:t>
      </w:r>
      <w:r w:rsidRPr="002C2DA4">
        <w:rPr>
          <w:rFonts w:ascii="Arial" w:hAnsi="Arial" w:cs="Arial"/>
        </w:rPr>
        <w:t>акупочной комиссии</w:t>
      </w:r>
      <w:r w:rsidRPr="00E901F5">
        <w:rPr>
          <w:rFonts w:ascii="Arial" w:hAnsi="Arial" w:cs="Arial"/>
        </w:rPr>
        <w:t xml:space="preserve"> затребовать от любого участника закупочной процедуры предоставления дополнительных сведений, необходимых для проведения экспертизы. Такое предложение должно сопровождаться письменным обоснованием необходимости запрашиваемой информации для оценки.</w:t>
      </w:r>
    </w:p>
    <w:p w:rsidR="00EB2DE4" w:rsidRPr="00B353FE" w:rsidRDefault="00EB2DE4" w:rsidP="00EB2DE4">
      <w:pPr>
        <w:numPr>
          <w:ilvl w:val="2"/>
          <w:numId w:val="5"/>
        </w:numPr>
        <w:tabs>
          <w:tab w:val="clear" w:pos="1584"/>
          <w:tab w:val="num" w:pos="0"/>
        </w:tabs>
        <w:spacing w:after="60"/>
        <w:ind w:left="0" w:firstLine="0"/>
        <w:jc w:val="both"/>
        <w:rPr>
          <w:rFonts w:ascii="Arial" w:hAnsi="Arial" w:cs="Arial"/>
        </w:rPr>
      </w:pPr>
      <w:r w:rsidRPr="00B353FE">
        <w:rPr>
          <w:rFonts w:ascii="Arial" w:hAnsi="Arial" w:cs="Arial"/>
        </w:rPr>
        <w:t xml:space="preserve">Подготовка заключения начинается с внесения </w:t>
      </w:r>
      <w:r>
        <w:rPr>
          <w:rFonts w:ascii="Arial" w:hAnsi="Arial" w:cs="Arial"/>
        </w:rPr>
        <w:t>э</w:t>
      </w:r>
      <w:r w:rsidRPr="00B353FE">
        <w:rPr>
          <w:rFonts w:ascii="Arial" w:hAnsi="Arial" w:cs="Arial"/>
        </w:rPr>
        <w:t>кспертом исходных данных в шаблон</w:t>
      </w:r>
      <w:r w:rsidRPr="00AB3711">
        <w:rPr>
          <w:rFonts w:ascii="Arial" w:hAnsi="Arial" w:cs="Arial"/>
        </w:rPr>
        <w:t xml:space="preserve"> </w:t>
      </w:r>
      <w:r>
        <w:rPr>
          <w:rFonts w:ascii="Arial" w:hAnsi="Arial" w:cs="Arial"/>
        </w:rPr>
        <w:t>«Финэкспертиза.</w:t>
      </w:r>
      <w:r w:rsidRPr="00346364">
        <w:rPr>
          <w:rFonts w:ascii="Arial" w:hAnsi="Arial" w:cs="Arial"/>
        </w:rPr>
        <w:t>xls</w:t>
      </w:r>
      <w:r>
        <w:rPr>
          <w:rFonts w:ascii="Arial" w:hAnsi="Arial" w:cs="Arial"/>
        </w:rPr>
        <w:t>»</w:t>
      </w:r>
      <w:r w:rsidRPr="00B353FE">
        <w:rPr>
          <w:rFonts w:ascii="Arial" w:hAnsi="Arial" w:cs="Arial"/>
        </w:rPr>
        <w:t xml:space="preserve"> для осуществления оценки. Обязательными для заполнения являются следующие графы таблицы:</w:t>
      </w:r>
    </w:p>
    <w:p w:rsidR="00EB2DE4" w:rsidRPr="00E901F5" w:rsidRDefault="00EB2DE4" w:rsidP="00EB2DE4">
      <w:pPr>
        <w:numPr>
          <w:ilvl w:val="0"/>
          <w:numId w:val="9"/>
        </w:numPr>
        <w:jc w:val="both"/>
        <w:rPr>
          <w:rFonts w:ascii="Arial" w:hAnsi="Arial" w:cs="Arial"/>
        </w:rPr>
      </w:pPr>
      <w:r w:rsidRPr="00E901F5">
        <w:rPr>
          <w:rFonts w:ascii="Arial" w:hAnsi="Arial" w:cs="Arial"/>
        </w:rPr>
        <w:t>название компании;</w:t>
      </w:r>
    </w:p>
    <w:p w:rsidR="00EB2DE4" w:rsidRPr="00E901F5" w:rsidRDefault="00EB2DE4" w:rsidP="00EB2DE4">
      <w:pPr>
        <w:numPr>
          <w:ilvl w:val="0"/>
          <w:numId w:val="9"/>
        </w:numPr>
        <w:jc w:val="both"/>
        <w:rPr>
          <w:rFonts w:ascii="Arial" w:hAnsi="Arial" w:cs="Arial"/>
        </w:rPr>
      </w:pPr>
      <w:r w:rsidRPr="00E901F5">
        <w:rPr>
          <w:rFonts w:ascii="Arial" w:hAnsi="Arial" w:cs="Arial"/>
        </w:rPr>
        <w:t>ИНН;</w:t>
      </w:r>
    </w:p>
    <w:p w:rsidR="00EB2DE4" w:rsidRPr="00E901F5" w:rsidRDefault="00EB2DE4" w:rsidP="00EB2DE4">
      <w:pPr>
        <w:numPr>
          <w:ilvl w:val="0"/>
          <w:numId w:val="9"/>
        </w:numPr>
        <w:jc w:val="both"/>
        <w:rPr>
          <w:rFonts w:ascii="Arial" w:hAnsi="Arial" w:cs="Arial"/>
        </w:rPr>
      </w:pPr>
      <w:r w:rsidRPr="00E901F5">
        <w:rPr>
          <w:rFonts w:ascii="Arial" w:hAnsi="Arial" w:cs="Arial"/>
        </w:rPr>
        <w:t>регион;</w:t>
      </w:r>
    </w:p>
    <w:p w:rsidR="00EB2DE4" w:rsidRPr="00E901F5" w:rsidRDefault="00EB2DE4" w:rsidP="00EB2DE4">
      <w:pPr>
        <w:numPr>
          <w:ilvl w:val="0"/>
          <w:numId w:val="9"/>
        </w:numPr>
        <w:jc w:val="both"/>
        <w:rPr>
          <w:rFonts w:ascii="Arial" w:hAnsi="Arial" w:cs="Arial"/>
        </w:rPr>
      </w:pPr>
      <w:r w:rsidRPr="00E901F5">
        <w:rPr>
          <w:rFonts w:ascii="Arial" w:hAnsi="Arial" w:cs="Arial"/>
        </w:rPr>
        <w:lastRenderedPageBreak/>
        <w:t>дата регистрации;</w:t>
      </w:r>
    </w:p>
    <w:p w:rsidR="00EB2DE4" w:rsidRPr="00E901F5" w:rsidRDefault="00EB2DE4" w:rsidP="00EB2DE4">
      <w:pPr>
        <w:numPr>
          <w:ilvl w:val="0"/>
          <w:numId w:val="9"/>
        </w:numPr>
        <w:jc w:val="both"/>
        <w:rPr>
          <w:rFonts w:ascii="Arial" w:hAnsi="Arial" w:cs="Arial"/>
        </w:rPr>
      </w:pPr>
      <w:r w:rsidRPr="00E901F5">
        <w:rPr>
          <w:rFonts w:ascii="Arial" w:hAnsi="Arial" w:cs="Arial"/>
        </w:rPr>
        <w:t>основной вид деятельности (ОКВЭД);</w:t>
      </w:r>
    </w:p>
    <w:p w:rsidR="00EB2DE4" w:rsidRPr="00E901F5" w:rsidRDefault="00EB2DE4" w:rsidP="00EB2DE4">
      <w:pPr>
        <w:numPr>
          <w:ilvl w:val="0"/>
          <w:numId w:val="9"/>
        </w:numPr>
        <w:jc w:val="both"/>
        <w:rPr>
          <w:rFonts w:ascii="Arial" w:hAnsi="Arial" w:cs="Arial"/>
        </w:rPr>
      </w:pPr>
      <w:r w:rsidRPr="00E901F5">
        <w:rPr>
          <w:rFonts w:ascii="Arial" w:hAnsi="Arial" w:cs="Arial"/>
        </w:rPr>
        <w:t>стоимость предложения, тыс. руб. без НДС</w:t>
      </w:r>
    </w:p>
    <w:p w:rsidR="00EB2DE4" w:rsidRPr="00B353FE" w:rsidRDefault="00EB2DE4" w:rsidP="00EB2DE4">
      <w:pPr>
        <w:numPr>
          <w:ilvl w:val="0"/>
          <w:numId w:val="9"/>
        </w:numPr>
        <w:jc w:val="both"/>
        <w:rPr>
          <w:rFonts w:ascii="Arial" w:hAnsi="Arial" w:cs="Arial"/>
        </w:rPr>
      </w:pPr>
      <w:r w:rsidRPr="00E901F5">
        <w:rPr>
          <w:rFonts w:ascii="Arial" w:hAnsi="Arial" w:cs="Arial"/>
        </w:rPr>
        <w:t>данные бухгалтерской отчетности</w:t>
      </w:r>
    </w:p>
    <w:p w:rsidR="00EB2DE4" w:rsidRPr="00E93622" w:rsidRDefault="00EB2DE4" w:rsidP="00EB2DE4">
      <w:pPr>
        <w:numPr>
          <w:ilvl w:val="2"/>
          <w:numId w:val="5"/>
        </w:numPr>
        <w:tabs>
          <w:tab w:val="clear" w:pos="1584"/>
          <w:tab w:val="num" w:pos="0"/>
        </w:tabs>
        <w:spacing w:after="60"/>
        <w:ind w:left="0" w:firstLine="0"/>
        <w:jc w:val="both"/>
        <w:rPr>
          <w:rFonts w:ascii="Arial" w:hAnsi="Arial" w:cs="Arial"/>
        </w:rPr>
      </w:pPr>
      <w:r w:rsidRPr="00E901F5">
        <w:rPr>
          <w:rFonts w:ascii="Arial" w:hAnsi="Arial" w:cs="Arial"/>
        </w:rPr>
        <w:t>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отметкой налогового органа о приеме, копия устава, копия выписки из ЕГРЮЛ</w:t>
      </w:r>
      <w:r>
        <w:rPr>
          <w:rFonts w:ascii="Arial" w:hAnsi="Arial" w:cs="Arial"/>
        </w:rPr>
        <w:t>/ЕГРИП</w:t>
      </w:r>
      <w:r w:rsidRPr="00E901F5">
        <w:rPr>
          <w:rFonts w:ascii="Arial" w:hAnsi="Arial" w:cs="Arial"/>
        </w:rPr>
        <w:t>, анкета, а</w:t>
      </w:r>
      <w:r>
        <w:rPr>
          <w:rFonts w:ascii="Arial" w:hAnsi="Arial" w:cs="Arial"/>
        </w:rPr>
        <w:t xml:space="preserve"> также оферта участника закупочной процедуры</w:t>
      </w:r>
      <w:r w:rsidRPr="00E901F5">
        <w:rPr>
          <w:rFonts w:ascii="Arial" w:hAnsi="Arial" w:cs="Arial"/>
        </w:rPr>
        <w:t>.</w:t>
      </w:r>
    </w:p>
    <w:p w:rsidR="00EB2DE4" w:rsidRPr="00E901F5" w:rsidRDefault="00EB2DE4" w:rsidP="00EB2DE4">
      <w:pPr>
        <w:numPr>
          <w:ilvl w:val="2"/>
          <w:numId w:val="5"/>
        </w:numPr>
        <w:tabs>
          <w:tab w:val="clear" w:pos="1584"/>
          <w:tab w:val="num" w:pos="0"/>
        </w:tabs>
        <w:spacing w:after="60"/>
        <w:ind w:left="0" w:firstLine="0"/>
        <w:jc w:val="both"/>
        <w:rPr>
          <w:rFonts w:ascii="Arial" w:hAnsi="Arial" w:cs="Arial"/>
        </w:rPr>
      </w:pPr>
      <w:r w:rsidRPr="00E901F5">
        <w:rPr>
          <w:rFonts w:ascii="Arial" w:hAnsi="Arial" w:cs="Arial"/>
        </w:rPr>
        <w:t>При наличии оплаченного доступа к информационно-аналитической системе «Спарк-Интерфакс» (системе содержащей данные, включая регистрационные и бухгалтерские, по большинству российских юридических лиц)</w:t>
      </w:r>
      <w:r>
        <w:rPr>
          <w:rFonts w:ascii="Arial" w:hAnsi="Arial" w:cs="Arial"/>
        </w:rPr>
        <w:t xml:space="preserve"> и доступа к сети интернет</w:t>
      </w:r>
      <w:r w:rsidRPr="00E901F5">
        <w:rPr>
          <w:rFonts w:ascii="Arial" w:hAnsi="Arial" w:cs="Arial"/>
        </w:rPr>
        <w:t xml:space="preserve">, в шаблоне </w:t>
      </w:r>
      <w:r>
        <w:rPr>
          <w:rFonts w:ascii="Arial" w:hAnsi="Arial" w:cs="Arial"/>
        </w:rPr>
        <w:t>«Финэкспертиза.</w:t>
      </w:r>
      <w:r w:rsidRPr="00346364">
        <w:rPr>
          <w:rFonts w:ascii="Arial" w:hAnsi="Arial" w:cs="Arial"/>
        </w:rPr>
        <w:t>xls</w:t>
      </w:r>
      <w:r>
        <w:rPr>
          <w:rFonts w:ascii="Arial" w:hAnsi="Arial" w:cs="Arial"/>
        </w:rPr>
        <w:t>»</w:t>
      </w:r>
      <w:r w:rsidRPr="00E901F5">
        <w:rPr>
          <w:rFonts w:ascii="Arial" w:hAnsi="Arial" w:cs="Arial"/>
        </w:rPr>
        <w:t xml:space="preserve"> предусмотрена возможность автоматического заполнения формы.</w:t>
      </w:r>
    </w:p>
    <w:p w:rsidR="00EB2DE4" w:rsidRDefault="00EB2DE4" w:rsidP="00EB2DE4">
      <w:pPr>
        <w:spacing w:after="60"/>
        <w:jc w:val="both"/>
        <w:rPr>
          <w:rFonts w:ascii="Arial" w:hAnsi="Arial" w:cs="Arial"/>
        </w:rPr>
      </w:pPr>
      <w:r w:rsidRPr="00E901F5">
        <w:rPr>
          <w:rFonts w:ascii="Arial" w:hAnsi="Arial" w:cs="Arial"/>
        </w:rPr>
        <w:t>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из Спарк» автоматически заполняются поля сводной формы.</w:t>
      </w:r>
    </w:p>
    <w:p w:rsidR="00EB2DE4" w:rsidRDefault="00EB2DE4" w:rsidP="00EB2DE4">
      <w:pPr>
        <w:spacing w:after="60"/>
        <w:jc w:val="both"/>
        <w:rPr>
          <w:rFonts w:ascii="Arial" w:hAnsi="Arial" w:cs="Arial"/>
        </w:rPr>
      </w:pPr>
      <w:r w:rsidRPr="00E901F5">
        <w:rPr>
          <w:rFonts w:ascii="Arial" w:hAnsi="Arial" w:cs="Arial"/>
        </w:rPr>
        <w:t xml:space="preserve">В случае отсутствия каких-либо регистрационных или бухгалтерских данных по участнику </w:t>
      </w:r>
      <w:r>
        <w:rPr>
          <w:rFonts w:ascii="Arial" w:hAnsi="Arial" w:cs="Arial"/>
        </w:rPr>
        <w:t>закупочной процедуры</w:t>
      </w:r>
      <w:r w:rsidRPr="00E901F5">
        <w:rPr>
          <w:rFonts w:ascii="Arial" w:hAnsi="Arial" w:cs="Arial"/>
        </w:rPr>
        <w:t xml:space="preserve"> в информационно-аналитической системе «Спарк-Интерфакс» (как правило, это бухгалтерская отчетность за последний отчетный период) недостающая информация вносится в </w:t>
      </w:r>
      <w:r>
        <w:rPr>
          <w:rFonts w:ascii="Arial" w:hAnsi="Arial" w:cs="Arial"/>
        </w:rPr>
        <w:t>шаблон</w:t>
      </w:r>
      <w:r w:rsidRPr="00E901F5">
        <w:rPr>
          <w:rFonts w:ascii="Arial" w:hAnsi="Arial" w:cs="Arial"/>
        </w:rPr>
        <w:t xml:space="preserve"> непосредственно </w:t>
      </w:r>
      <w:r>
        <w:rPr>
          <w:rFonts w:ascii="Arial" w:hAnsi="Arial" w:cs="Arial"/>
        </w:rPr>
        <w:t>э</w:t>
      </w:r>
      <w:r w:rsidRPr="00E901F5">
        <w:rPr>
          <w:rFonts w:ascii="Arial" w:hAnsi="Arial" w:cs="Arial"/>
        </w:rPr>
        <w:t>кспертом.</w:t>
      </w:r>
    </w:p>
    <w:p w:rsidR="00EB2DE4" w:rsidRDefault="00EB2DE4" w:rsidP="00EB2DE4">
      <w:pPr>
        <w:spacing w:after="60"/>
        <w:jc w:val="both"/>
        <w:rPr>
          <w:rFonts w:ascii="Arial" w:hAnsi="Arial" w:cs="Arial"/>
        </w:rPr>
      </w:pPr>
      <w:r w:rsidRPr="008F7245">
        <w:rPr>
          <w:rFonts w:ascii="Arial" w:hAnsi="Arial" w:cs="Arial"/>
        </w:rPr>
        <w:t>Учитывая тот факт, что источн</w:t>
      </w:r>
      <w:r>
        <w:rPr>
          <w:rFonts w:ascii="Arial" w:hAnsi="Arial" w:cs="Arial"/>
        </w:rPr>
        <w:t>иком информации в системе «Спарк-Интерфакс</w:t>
      </w:r>
      <w:r w:rsidRPr="008F7245">
        <w:rPr>
          <w:rFonts w:ascii="Arial" w:hAnsi="Arial" w:cs="Arial"/>
        </w:rPr>
        <w:t>» 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w:t>
      </w:r>
      <w:r>
        <w:rPr>
          <w:rFonts w:ascii="Arial" w:hAnsi="Arial" w:cs="Arial"/>
        </w:rPr>
        <w:t>м, Центральный Банк России и другие</w:t>
      </w:r>
      <w:r w:rsidRPr="008F7245">
        <w:rPr>
          <w:rFonts w:ascii="Arial" w:hAnsi="Arial" w:cs="Arial"/>
        </w:rPr>
        <w:t>, – допускается использовать при проведении финансово-экономической экспертизы данные бухгалтерской отчетности, представленные в информационно</w:t>
      </w:r>
      <w:r>
        <w:rPr>
          <w:rFonts w:ascii="Arial" w:hAnsi="Arial" w:cs="Arial"/>
        </w:rPr>
        <w:t>-аналитической системе «Спарк-Интерфакс</w:t>
      </w:r>
      <w:r w:rsidRPr="008F7245">
        <w:rPr>
          <w:rFonts w:ascii="Arial" w:hAnsi="Arial" w:cs="Arial"/>
        </w:rPr>
        <w:t>».</w:t>
      </w:r>
    </w:p>
    <w:p w:rsidR="00EB2DE4" w:rsidRPr="006F3744" w:rsidRDefault="00EB2DE4" w:rsidP="00EB2DE4">
      <w:pPr>
        <w:spacing w:after="60"/>
        <w:jc w:val="both"/>
        <w:rPr>
          <w:rFonts w:ascii="Arial" w:hAnsi="Arial" w:cs="Arial"/>
        </w:rPr>
      </w:pPr>
      <w:r>
        <w:rPr>
          <w:rFonts w:ascii="Arial" w:hAnsi="Arial" w:cs="Arial"/>
        </w:rPr>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информационно-аналитической системе «Спарк-Интерфакс»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rsidR="00EB2DE4" w:rsidRDefault="00EB2DE4" w:rsidP="00EB2DE4">
      <w:pPr>
        <w:numPr>
          <w:ilvl w:val="2"/>
          <w:numId w:val="5"/>
        </w:numPr>
        <w:tabs>
          <w:tab w:val="clear" w:pos="1584"/>
          <w:tab w:val="num" w:pos="0"/>
        </w:tabs>
        <w:spacing w:after="60"/>
        <w:ind w:left="0" w:firstLine="0"/>
        <w:jc w:val="both"/>
        <w:rPr>
          <w:rFonts w:ascii="Arial" w:hAnsi="Arial" w:cs="Arial"/>
        </w:rPr>
      </w:pPr>
      <w:r w:rsidRPr="00E901F5">
        <w:rPr>
          <w:rFonts w:ascii="Arial" w:hAnsi="Arial" w:cs="Arial"/>
        </w:rPr>
        <w:t xml:space="preserve">На основании данных бухгалтерской отчетности в шаблоне </w:t>
      </w:r>
      <w:r>
        <w:rPr>
          <w:rFonts w:ascii="Arial" w:hAnsi="Arial" w:cs="Arial"/>
        </w:rPr>
        <w:t>«Финэкспертиза.</w:t>
      </w:r>
      <w:r w:rsidRPr="00346364">
        <w:rPr>
          <w:rFonts w:ascii="Arial" w:hAnsi="Arial" w:cs="Arial"/>
        </w:rPr>
        <w:t>xls</w:t>
      </w:r>
      <w:r>
        <w:rPr>
          <w:rFonts w:ascii="Arial" w:hAnsi="Arial" w:cs="Arial"/>
        </w:rPr>
        <w:t>»</w:t>
      </w:r>
      <w:r w:rsidRPr="00E901F5">
        <w:rPr>
          <w:rFonts w:ascii="Arial" w:hAnsi="Arial" w:cs="Arial"/>
        </w:rPr>
        <w:t xml:space="preserve"> рассчитываются финансовые коэффициенты и в зависимости от принимаемых значений им</w:t>
      </w:r>
      <w:r>
        <w:rPr>
          <w:rFonts w:ascii="Arial" w:hAnsi="Arial" w:cs="Arial"/>
        </w:rPr>
        <w:t xml:space="preserve"> присваиваются баллы от 0 до 1.</w:t>
      </w:r>
    </w:p>
    <w:p w:rsidR="00EB2DE4" w:rsidRPr="00B353FE" w:rsidRDefault="00EB2DE4" w:rsidP="00EB2DE4">
      <w:pPr>
        <w:numPr>
          <w:ilvl w:val="2"/>
          <w:numId w:val="5"/>
        </w:numPr>
        <w:tabs>
          <w:tab w:val="clear" w:pos="1584"/>
          <w:tab w:val="num" w:pos="0"/>
        </w:tabs>
        <w:spacing w:after="60"/>
        <w:ind w:left="0" w:firstLine="0"/>
        <w:jc w:val="both"/>
        <w:rPr>
          <w:rFonts w:ascii="Arial" w:hAnsi="Arial" w:cs="Arial"/>
        </w:rPr>
      </w:pPr>
      <w:r w:rsidRPr="00B353FE">
        <w:rPr>
          <w:rFonts w:ascii="Arial" w:hAnsi="Arial" w:cs="Arial"/>
        </w:rPr>
        <w:t xml:space="preserve">Затем </w:t>
      </w:r>
      <w:r>
        <w:rPr>
          <w:rFonts w:ascii="Arial" w:hAnsi="Arial" w:cs="Arial"/>
        </w:rPr>
        <w:t>э</w:t>
      </w:r>
      <w:r w:rsidRPr="00B353FE">
        <w:rPr>
          <w:rFonts w:ascii="Arial" w:hAnsi="Arial" w:cs="Arial"/>
        </w:rPr>
        <w:t>ксперт качественно оценивает бизнес-риски, в числе которых:</w:t>
      </w:r>
    </w:p>
    <w:p w:rsidR="00EB2DE4" w:rsidRDefault="00EB2DE4" w:rsidP="00EB2DE4">
      <w:pPr>
        <w:jc w:val="both"/>
        <w:rPr>
          <w:rFonts w:ascii="Arial" w:hAnsi="Arial" w:cs="Arial"/>
        </w:rPr>
      </w:pPr>
    </w:p>
    <w:p w:rsidR="00EB2DE4" w:rsidRPr="00E901F5" w:rsidRDefault="00EB2DE4" w:rsidP="00EB2DE4">
      <w:pPr>
        <w:numPr>
          <w:ilvl w:val="0"/>
          <w:numId w:val="10"/>
        </w:numPr>
        <w:jc w:val="both"/>
        <w:rPr>
          <w:rFonts w:ascii="Arial" w:hAnsi="Arial" w:cs="Arial"/>
        </w:rPr>
      </w:pPr>
      <w:r w:rsidRPr="00E901F5">
        <w:rPr>
          <w:rFonts w:ascii="Arial" w:hAnsi="Arial" w:cs="Arial"/>
        </w:rPr>
        <w:t>соответствие основного вида деятельности по классификации ОКВЭД;</w:t>
      </w:r>
    </w:p>
    <w:p w:rsidR="00EB2DE4" w:rsidRPr="00E901F5" w:rsidRDefault="00EB2DE4" w:rsidP="00EB2DE4">
      <w:pPr>
        <w:numPr>
          <w:ilvl w:val="0"/>
          <w:numId w:val="10"/>
        </w:numPr>
        <w:jc w:val="both"/>
        <w:rPr>
          <w:rFonts w:ascii="Arial" w:hAnsi="Arial" w:cs="Arial"/>
        </w:rPr>
      </w:pPr>
      <w:r w:rsidRPr="00E901F5">
        <w:rPr>
          <w:rFonts w:ascii="Arial" w:hAnsi="Arial" w:cs="Arial"/>
        </w:rPr>
        <w:t>численность персонала;</w:t>
      </w:r>
    </w:p>
    <w:p w:rsidR="00EB2DE4" w:rsidRPr="00E901F5" w:rsidRDefault="00EB2DE4" w:rsidP="00EB2DE4">
      <w:pPr>
        <w:numPr>
          <w:ilvl w:val="0"/>
          <w:numId w:val="10"/>
        </w:numPr>
        <w:jc w:val="both"/>
        <w:rPr>
          <w:rFonts w:ascii="Arial" w:hAnsi="Arial" w:cs="Arial"/>
        </w:rPr>
      </w:pPr>
      <w:r w:rsidRPr="00E901F5">
        <w:rPr>
          <w:rFonts w:ascii="Arial" w:hAnsi="Arial" w:cs="Arial"/>
        </w:rPr>
        <w:t>регион ведения деятельности;</w:t>
      </w:r>
    </w:p>
    <w:p w:rsidR="00EB2DE4" w:rsidRDefault="00EB2DE4" w:rsidP="00EB2DE4">
      <w:pPr>
        <w:numPr>
          <w:ilvl w:val="0"/>
          <w:numId w:val="10"/>
        </w:numPr>
        <w:jc w:val="both"/>
        <w:rPr>
          <w:rFonts w:ascii="Arial" w:hAnsi="Arial" w:cs="Arial"/>
        </w:rPr>
      </w:pPr>
      <w:r w:rsidRPr="00E901F5">
        <w:rPr>
          <w:rFonts w:ascii="Arial" w:hAnsi="Arial" w:cs="Arial"/>
        </w:rPr>
        <w:t>финансовые условия сделки.</w:t>
      </w:r>
    </w:p>
    <w:p w:rsidR="00EB2DE4" w:rsidRPr="00E901F5" w:rsidRDefault="00EB2DE4" w:rsidP="00EB2DE4">
      <w:pPr>
        <w:spacing w:before="120" w:after="60"/>
        <w:jc w:val="both"/>
        <w:rPr>
          <w:rFonts w:ascii="Arial" w:hAnsi="Arial" w:cs="Arial"/>
        </w:rPr>
      </w:pPr>
      <w:r>
        <w:rPr>
          <w:rFonts w:ascii="Arial" w:hAnsi="Arial" w:cs="Arial"/>
        </w:rPr>
        <w:t xml:space="preserve">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w:t>
      </w:r>
      <w:r>
        <w:rPr>
          <w:rFonts w:ascii="Arial" w:hAnsi="Arial" w:cs="Arial"/>
        </w:rPr>
        <w:lastRenderedPageBreak/>
        <w:t>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rsidR="00EB2DE4" w:rsidRPr="00E901F5" w:rsidRDefault="00EB2DE4" w:rsidP="00EB2DE4">
      <w:pPr>
        <w:numPr>
          <w:ilvl w:val="3"/>
          <w:numId w:val="5"/>
        </w:numPr>
        <w:tabs>
          <w:tab w:val="clear" w:pos="1800"/>
          <w:tab w:val="num" w:pos="0"/>
        </w:tabs>
        <w:spacing w:after="60"/>
        <w:ind w:left="0" w:firstLine="0"/>
        <w:jc w:val="both"/>
        <w:rPr>
          <w:rFonts w:ascii="Arial" w:hAnsi="Arial" w:cs="Arial"/>
        </w:rPr>
      </w:pPr>
      <w:r w:rsidRPr="00E901F5">
        <w:rPr>
          <w:rFonts w:ascii="Arial" w:hAnsi="Arial" w:cs="Arial"/>
        </w:rPr>
        <w:t>Финансовые условия сделки оцениваются в разрезе следующих основных вариантов:</w:t>
      </w:r>
    </w:p>
    <w:p w:rsidR="00EB2DE4" w:rsidRPr="00E901F5" w:rsidRDefault="00EB2DE4" w:rsidP="00EB2DE4">
      <w:pPr>
        <w:numPr>
          <w:ilvl w:val="0"/>
          <w:numId w:val="11"/>
        </w:numPr>
        <w:jc w:val="both"/>
        <w:rPr>
          <w:rFonts w:ascii="Arial" w:hAnsi="Arial" w:cs="Arial"/>
        </w:rPr>
      </w:pPr>
      <w:r w:rsidRPr="00E901F5">
        <w:rPr>
          <w:rFonts w:ascii="Arial" w:hAnsi="Arial" w:cs="Arial"/>
        </w:rPr>
        <w:t>без предоплаты;</w:t>
      </w:r>
    </w:p>
    <w:p w:rsidR="00EB2DE4" w:rsidRPr="00E901F5" w:rsidRDefault="00EB2DE4" w:rsidP="00EB2DE4">
      <w:pPr>
        <w:numPr>
          <w:ilvl w:val="0"/>
          <w:numId w:val="11"/>
        </w:numPr>
        <w:jc w:val="both"/>
        <w:rPr>
          <w:rFonts w:ascii="Arial" w:hAnsi="Arial" w:cs="Arial"/>
        </w:rPr>
      </w:pPr>
      <w:r w:rsidRPr="00E901F5">
        <w:rPr>
          <w:rFonts w:ascii="Arial" w:hAnsi="Arial" w:cs="Arial"/>
        </w:rPr>
        <w:t>полное покрытие аванса банковской гарантией;</w:t>
      </w:r>
    </w:p>
    <w:p w:rsidR="00EB2DE4" w:rsidRDefault="00EB2DE4" w:rsidP="00EB2DE4">
      <w:pPr>
        <w:numPr>
          <w:ilvl w:val="0"/>
          <w:numId w:val="11"/>
        </w:numPr>
        <w:spacing w:after="120"/>
        <w:ind w:left="1281" w:hanging="357"/>
        <w:jc w:val="both"/>
        <w:rPr>
          <w:rFonts w:ascii="Arial" w:hAnsi="Arial" w:cs="Arial"/>
        </w:rPr>
      </w:pPr>
      <w:r w:rsidRPr="00E901F5">
        <w:rPr>
          <w:rFonts w:ascii="Arial" w:hAnsi="Arial" w:cs="Arial"/>
        </w:rPr>
        <w:t>аванс без покрытия банковской гарантией.</w:t>
      </w:r>
    </w:p>
    <w:p w:rsidR="00EB2DE4" w:rsidRDefault="00EB2DE4" w:rsidP="00EB2DE4">
      <w:pPr>
        <w:numPr>
          <w:ilvl w:val="3"/>
          <w:numId w:val="5"/>
        </w:numPr>
        <w:spacing w:after="60"/>
        <w:ind w:left="0" w:firstLine="0"/>
        <w:jc w:val="both"/>
        <w:rPr>
          <w:rFonts w:ascii="Arial" w:hAnsi="Arial" w:cs="Arial"/>
        </w:rPr>
      </w:pPr>
      <w:r w:rsidRPr="00E901F5">
        <w:rPr>
          <w:rFonts w:ascii="Arial" w:hAnsi="Arial" w:cs="Arial"/>
        </w:rPr>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rsidR="00EB2DE4" w:rsidRDefault="00EB2DE4" w:rsidP="00EB2DE4">
      <w:pPr>
        <w:numPr>
          <w:ilvl w:val="3"/>
          <w:numId w:val="5"/>
        </w:numPr>
        <w:spacing w:after="60"/>
        <w:ind w:left="0" w:firstLine="0"/>
        <w:jc w:val="both"/>
        <w:rPr>
          <w:rFonts w:ascii="Arial" w:hAnsi="Arial" w:cs="Arial"/>
        </w:rPr>
      </w:pPr>
      <w:r w:rsidRPr="00E901F5">
        <w:rPr>
          <w:rFonts w:ascii="Arial" w:hAnsi="Arial" w:cs="Arial"/>
        </w:rPr>
        <w:t>Ко второму варианту «полное покрытие аванса банковской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банковской гарантией.</w:t>
      </w:r>
    </w:p>
    <w:p w:rsidR="00EB2DE4" w:rsidRDefault="00EB2DE4" w:rsidP="00EB2DE4">
      <w:pPr>
        <w:numPr>
          <w:ilvl w:val="3"/>
          <w:numId w:val="5"/>
        </w:numPr>
        <w:spacing w:after="60"/>
        <w:ind w:left="0" w:firstLine="0"/>
        <w:jc w:val="both"/>
        <w:rPr>
          <w:rFonts w:ascii="Arial" w:hAnsi="Arial" w:cs="Arial"/>
        </w:rPr>
      </w:pPr>
      <w:r w:rsidRPr="00E901F5">
        <w:rPr>
          <w:rFonts w:ascii="Arial" w:hAnsi="Arial" w:cs="Arial"/>
        </w:rPr>
        <w:t>Случай, когда какой-либо авансовый платеж или его часть в пользу участника закупочной процедуры планируется осуществить без покрытия банковской гарантией, такой вариант должен рассматриваться как «аванс без покрытия банковской гарантией».</w:t>
      </w:r>
    </w:p>
    <w:p w:rsidR="00EB2DE4" w:rsidRDefault="00EB2DE4" w:rsidP="00EB2DE4">
      <w:pPr>
        <w:numPr>
          <w:ilvl w:val="2"/>
          <w:numId w:val="5"/>
        </w:numPr>
        <w:tabs>
          <w:tab w:val="clear" w:pos="1584"/>
          <w:tab w:val="num" w:pos="0"/>
        </w:tabs>
        <w:spacing w:after="60"/>
        <w:ind w:left="0" w:firstLine="0"/>
        <w:jc w:val="both"/>
        <w:rPr>
          <w:rFonts w:ascii="Arial" w:hAnsi="Arial" w:cs="Arial"/>
        </w:rPr>
      </w:pPr>
      <w:r w:rsidRPr="00E901F5">
        <w:rPr>
          <w:rFonts w:ascii="Arial" w:hAnsi="Arial" w:cs="Arial"/>
        </w:rPr>
        <w:t xml:space="preserve">Срок существования компаний-участниц закупочной процедуры определяется в шаблоне </w:t>
      </w:r>
      <w:r>
        <w:rPr>
          <w:rFonts w:ascii="Arial" w:hAnsi="Arial" w:cs="Arial"/>
        </w:rPr>
        <w:t>«Финэкспертиза.</w:t>
      </w:r>
      <w:r w:rsidRPr="002E51B5">
        <w:rPr>
          <w:rFonts w:ascii="Arial" w:hAnsi="Arial" w:cs="Arial"/>
        </w:rPr>
        <w:t>xls</w:t>
      </w:r>
      <w:r>
        <w:rPr>
          <w:rFonts w:ascii="Arial" w:hAnsi="Arial" w:cs="Arial"/>
        </w:rPr>
        <w:t>»</w:t>
      </w:r>
      <w:r w:rsidRPr="00E901F5">
        <w:rPr>
          <w:rFonts w:ascii="Arial" w:hAnsi="Arial" w:cs="Arial"/>
        </w:rPr>
        <w:t xml:space="preserve"> автоматически на основании заполненных граф с датой регистрации и датой подготовки заключения.</w:t>
      </w:r>
    </w:p>
    <w:p w:rsidR="00EB2DE4" w:rsidRDefault="00EB2DE4" w:rsidP="00EB2DE4">
      <w:pPr>
        <w:spacing w:after="60"/>
        <w:jc w:val="both"/>
        <w:rPr>
          <w:rFonts w:ascii="Arial" w:hAnsi="Arial" w:cs="Arial"/>
        </w:rPr>
      </w:pPr>
      <w:r w:rsidRPr="00E901F5">
        <w:rPr>
          <w:rFonts w:ascii="Arial" w:hAnsi="Arial" w:cs="Arial"/>
        </w:rPr>
        <w:t xml:space="preserve">В шаблоне </w:t>
      </w:r>
      <w:r>
        <w:rPr>
          <w:rFonts w:ascii="Arial" w:hAnsi="Arial" w:cs="Arial"/>
        </w:rPr>
        <w:t>«Финэкспертиза.</w:t>
      </w:r>
      <w:r>
        <w:rPr>
          <w:rFonts w:ascii="Arial" w:hAnsi="Arial" w:cs="Arial"/>
          <w:lang w:val="en-US"/>
        </w:rPr>
        <w:t>xls</w:t>
      </w:r>
      <w:r>
        <w:rPr>
          <w:rFonts w:ascii="Arial" w:hAnsi="Arial" w:cs="Arial"/>
        </w:rPr>
        <w:t>» также</w:t>
      </w:r>
      <w:r w:rsidRPr="00E901F5">
        <w:rPr>
          <w:rFonts w:ascii="Arial" w:hAnsi="Arial" w:cs="Arial"/>
        </w:rPr>
        <w:t xml:space="preserve"> реализовано сопоставление суммы планируемого договора</w:t>
      </w:r>
      <w:r>
        <w:rPr>
          <w:rFonts w:ascii="Arial" w:hAnsi="Arial" w:cs="Arial"/>
        </w:rPr>
        <w:t xml:space="preserve"> и величины аванса</w:t>
      </w:r>
      <w:r w:rsidRPr="00E901F5">
        <w:rPr>
          <w:rFonts w:ascii="Arial" w:hAnsi="Arial" w:cs="Arial"/>
        </w:rPr>
        <w:t>, указанной в оферте участника закупочной процедуры, с его активами и годовой выручкой.</w:t>
      </w:r>
    </w:p>
    <w:p w:rsidR="00EB2DE4" w:rsidRPr="00E901F5" w:rsidRDefault="00EB2DE4" w:rsidP="00EB2DE4">
      <w:pPr>
        <w:spacing w:after="60"/>
        <w:jc w:val="both"/>
        <w:rPr>
          <w:rFonts w:ascii="Arial" w:hAnsi="Arial" w:cs="Arial"/>
        </w:rPr>
      </w:pPr>
      <w:r w:rsidRPr="00E901F5">
        <w:rPr>
          <w:rFonts w:ascii="Arial" w:hAnsi="Arial" w:cs="Arial"/>
        </w:rPr>
        <w:t xml:space="preserve">Оценка по критериям «срок существования» и «соответствие масштабов деятельности участника </w:t>
      </w:r>
      <w:r>
        <w:rPr>
          <w:rFonts w:ascii="Arial" w:hAnsi="Arial" w:cs="Arial"/>
        </w:rPr>
        <w:t>закупочной процедуры</w:t>
      </w:r>
      <w:r w:rsidRPr="00E901F5">
        <w:rPr>
          <w:rFonts w:ascii="Arial" w:hAnsi="Arial" w:cs="Arial"/>
        </w:rPr>
        <w:t xml:space="preserve"> сумме закупки» осуществляется автоматически.</w:t>
      </w:r>
    </w:p>
    <w:p w:rsidR="00EB2DE4" w:rsidRPr="00E901F5" w:rsidRDefault="00EB2DE4" w:rsidP="00EB2DE4">
      <w:pPr>
        <w:numPr>
          <w:ilvl w:val="2"/>
          <w:numId w:val="5"/>
        </w:numPr>
        <w:tabs>
          <w:tab w:val="clear" w:pos="1584"/>
          <w:tab w:val="num" w:pos="0"/>
        </w:tabs>
        <w:spacing w:after="60"/>
        <w:ind w:left="0" w:firstLine="0"/>
        <w:jc w:val="both"/>
        <w:rPr>
          <w:rFonts w:ascii="Arial" w:hAnsi="Arial" w:cs="Arial"/>
        </w:rPr>
      </w:pPr>
      <w:r w:rsidRPr="00E901F5">
        <w:rPr>
          <w:rFonts w:ascii="Arial" w:hAnsi="Arial" w:cs="Arial"/>
        </w:rPr>
        <w:t xml:space="preserve">Когда в шаблон </w:t>
      </w:r>
      <w:r>
        <w:rPr>
          <w:rFonts w:ascii="Arial" w:hAnsi="Arial" w:cs="Arial"/>
        </w:rPr>
        <w:t>«Финэкспертиза.</w:t>
      </w:r>
      <w:r w:rsidRPr="002E51B5">
        <w:rPr>
          <w:rFonts w:ascii="Arial" w:hAnsi="Arial" w:cs="Arial"/>
        </w:rPr>
        <w:t>xls</w:t>
      </w:r>
      <w:r>
        <w:rPr>
          <w:rFonts w:ascii="Arial" w:hAnsi="Arial" w:cs="Arial"/>
        </w:rPr>
        <w:t>»</w:t>
      </w:r>
      <w:r w:rsidRPr="00E901F5">
        <w:rPr>
          <w:rFonts w:ascii="Arial" w:hAnsi="Arial" w:cs="Arial"/>
        </w:rPr>
        <w:t xml:space="preserve"> внесены:</w:t>
      </w:r>
    </w:p>
    <w:p w:rsidR="00EB2DE4" w:rsidRPr="00E901F5" w:rsidRDefault="00EB2DE4" w:rsidP="00EB2DE4">
      <w:pPr>
        <w:numPr>
          <w:ilvl w:val="0"/>
          <w:numId w:val="12"/>
        </w:numPr>
        <w:jc w:val="both"/>
        <w:rPr>
          <w:rFonts w:ascii="Arial" w:hAnsi="Arial" w:cs="Arial"/>
        </w:rPr>
      </w:pPr>
      <w:r w:rsidRPr="00E901F5">
        <w:rPr>
          <w:rFonts w:ascii="Arial" w:hAnsi="Arial" w:cs="Arial"/>
        </w:rPr>
        <w:t>регистрационные данные участника закупочной процедуры (название компании, ИНН, регион; дата регистрации, основной вид деятельности),</w:t>
      </w:r>
    </w:p>
    <w:p w:rsidR="00EB2DE4" w:rsidRPr="00E901F5" w:rsidRDefault="00EB2DE4" w:rsidP="00EB2DE4">
      <w:pPr>
        <w:numPr>
          <w:ilvl w:val="0"/>
          <w:numId w:val="12"/>
        </w:numPr>
        <w:jc w:val="both"/>
        <w:rPr>
          <w:rFonts w:ascii="Arial" w:hAnsi="Arial" w:cs="Arial"/>
        </w:rPr>
      </w:pPr>
      <w:r w:rsidRPr="00E901F5">
        <w:rPr>
          <w:rFonts w:ascii="Arial" w:hAnsi="Arial" w:cs="Arial"/>
        </w:rPr>
        <w:t>данные бухгалтерской отчетности,</w:t>
      </w:r>
    </w:p>
    <w:p w:rsidR="00EB2DE4" w:rsidRPr="00E901F5" w:rsidRDefault="00EB2DE4" w:rsidP="00EB2DE4">
      <w:pPr>
        <w:numPr>
          <w:ilvl w:val="0"/>
          <w:numId w:val="12"/>
        </w:numPr>
        <w:jc w:val="both"/>
        <w:rPr>
          <w:rFonts w:ascii="Arial" w:hAnsi="Arial" w:cs="Arial"/>
        </w:rPr>
      </w:pPr>
      <w:r w:rsidRPr="00E901F5">
        <w:rPr>
          <w:rFonts w:ascii="Arial" w:hAnsi="Arial" w:cs="Arial"/>
        </w:rPr>
        <w:t>проставлены галочки в соответствующих полях формы</w:t>
      </w:r>
      <w:r>
        <w:rPr>
          <w:rFonts w:ascii="Arial" w:hAnsi="Arial" w:cs="Arial"/>
        </w:rPr>
        <w:t xml:space="preserve"> для условий оплаты</w:t>
      </w:r>
      <w:r w:rsidRPr="00E901F5">
        <w:rPr>
          <w:rFonts w:ascii="Arial" w:hAnsi="Arial" w:cs="Arial"/>
        </w:rPr>
        <w:t>,</w:t>
      </w:r>
    </w:p>
    <w:p w:rsidR="00EB2DE4" w:rsidRPr="00E901F5" w:rsidRDefault="00EB2DE4" w:rsidP="00EB2DE4">
      <w:pPr>
        <w:numPr>
          <w:ilvl w:val="0"/>
          <w:numId w:val="12"/>
        </w:numPr>
        <w:jc w:val="both"/>
        <w:rPr>
          <w:rFonts w:ascii="Arial" w:hAnsi="Arial" w:cs="Arial"/>
        </w:rPr>
      </w:pPr>
      <w:r w:rsidRPr="00E901F5">
        <w:rPr>
          <w:rFonts w:ascii="Arial" w:hAnsi="Arial" w:cs="Arial"/>
        </w:rPr>
        <w:t>указана сумма планируемого договора</w:t>
      </w:r>
      <w:r>
        <w:rPr>
          <w:rFonts w:ascii="Arial" w:hAnsi="Arial" w:cs="Arial"/>
        </w:rPr>
        <w:t>,</w:t>
      </w:r>
    </w:p>
    <w:p w:rsidR="00EB2DE4" w:rsidRPr="00E901F5" w:rsidRDefault="00EB2DE4" w:rsidP="00EB2DE4">
      <w:pPr>
        <w:jc w:val="both"/>
        <w:rPr>
          <w:rFonts w:ascii="Arial" w:hAnsi="Arial" w:cs="Arial"/>
        </w:rPr>
      </w:pPr>
      <w:r w:rsidRPr="00E901F5">
        <w:rPr>
          <w:rFonts w:ascii="Arial" w:hAnsi="Arial" w:cs="Arial"/>
        </w:rPr>
        <w:t>осуществляется автоматическая оценка участников закупочной процедуры н</w:t>
      </w:r>
      <w:r>
        <w:rPr>
          <w:rFonts w:ascii="Arial" w:hAnsi="Arial" w:cs="Arial"/>
        </w:rPr>
        <w:t>а основе балльно-весового подхода</w:t>
      </w:r>
      <w:r w:rsidRPr="00E901F5">
        <w:rPr>
          <w:rFonts w:ascii="Arial" w:hAnsi="Arial" w:cs="Arial"/>
        </w:rPr>
        <w:t>, параметры которого (баллы и веса) определены</w:t>
      </w:r>
      <w:r>
        <w:rPr>
          <w:rFonts w:ascii="Arial" w:hAnsi="Arial" w:cs="Arial"/>
        </w:rPr>
        <w:t xml:space="preserve"> настоящей методикой</w:t>
      </w:r>
      <w:r w:rsidRPr="00E901F5">
        <w:rPr>
          <w:rFonts w:ascii="Arial" w:hAnsi="Arial" w:cs="Arial"/>
        </w:rPr>
        <w:t>.</w:t>
      </w:r>
    </w:p>
    <w:p w:rsidR="00EB2DE4" w:rsidRPr="000D2951" w:rsidRDefault="00EB2DE4" w:rsidP="00EB2DE4">
      <w:pPr>
        <w:numPr>
          <w:ilvl w:val="1"/>
          <w:numId w:val="5"/>
        </w:numPr>
        <w:tabs>
          <w:tab w:val="clear" w:pos="792"/>
          <w:tab w:val="num" w:pos="574"/>
        </w:tabs>
        <w:spacing w:before="120" w:after="120"/>
        <w:ind w:left="426"/>
        <w:rPr>
          <w:rFonts w:ascii="Arial" w:hAnsi="Arial" w:cs="Arial"/>
        </w:rPr>
      </w:pPr>
      <w:r w:rsidRPr="000D2951">
        <w:rPr>
          <w:rFonts w:ascii="Arial" w:hAnsi="Arial" w:cs="Arial"/>
        </w:rPr>
        <w:t>Формирование окончательного решения</w:t>
      </w:r>
    </w:p>
    <w:p w:rsidR="00EB2DE4" w:rsidRPr="000C31B1" w:rsidRDefault="00EB2DE4" w:rsidP="00EB2DE4">
      <w:pPr>
        <w:numPr>
          <w:ilvl w:val="2"/>
          <w:numId w:val="5"/>
        </w:numPr>
        <w:tabs>
          <w:tab w:val="clear" w:pos="1584"/>
          <w:tab w:val="num" w:pos="851"/>
        </w:tabs>
        <w:spacing w:after="60"/>
        <w:ind w:left="0" w:firstLine="0"/>
        <w:jc w:val="both"/>
        <w:rPr>
          <w:rFonts w:ascii="Arial" w:hAnsi="Arial" w:cs="Arial"/>
        </w:rPr>
      </w:pPr>
      <w:r>
        <w:rPr>
          <w:rFonts w:ascii="Arial" w:hAnsi="Arial" w:cs="Arial"/>
        </w:rPr>
        <w:t xml:space="preserve">На отборочной стадии эксперт, используя результаты совместного применения балльно-весового подхода и системы стоп и риск-факторов, согласно алгоритму, описанному в методике, принимает решение </w:t>
      </w:r>
      <w:r w:rsidRPr="00D027C4">
        <w:rPr>
          <w:rFonts w:ascii="Arial" w:hAnsi="Arial" w:cs="Arial"/>
        </w:rPr>
        <w:t xml:space="preserve">о </w:t>
      </w:r>
      <w:r w:rsidRPr="00D027C4">
        <w:rPr>
          <w:rFonts w:ascii="Arial" w:hAnsi="Arial" w:cs="Arial"/>
        </w:rPr>
        <w:lastRenderedPageBreak/>
        <w:t xml:space="preserve">соответствии/несоответствии участников закупочной процедуры требованиям закупочной документации и настоящей </w:t>
      </w:r>
      <w:r>
        <w:rPr>
          <w:rFonts w:ascii="Arial" w:hAnsi="Arial" w:cs="Arial"/>
        </w:rPr>
        <w:t>м</w:t>
      </w:r>
      <w:r w:rsidRPr="00D027C4">
        <w:rPr>
          <w:rFonts w:ascii="Arial" w:hAnsi="Arial" w:cs="Arial"/>
        </w:rPr>
        <w:t>етодики</w:t>
      </w:r>
      <w:r>
        <w:rPr>
          <w:rFonts w:ascii="Arial" w:hAnsi="Arial" w:cs="Arial"/>
        </w:rPr>
        <w:t xml:space="preserve"> с точки зрения финансово-экономических критериев. </w:t>
      </w:r>
      <w:r w:rsidRPr="00E73494">
        <w:rPr>
          <w:rFonts w:ascii="Arial" w:hAnsi="Arial" w:cs="Arial"/>
        </w:rPr>
        <w:t xml:space="preserve">В случае если на основании применения балльно-весового </w:t>
      </w:r>
      <w:r>
        <w:rPr>
          <w:rFonts w:ascii="Arial" w:hAnsi="Arial" w:cs="Arial"/>
        </w:rPr>
        <w:t>подхода</w:t>
      </w:r>
      <w:r w:rsidRPr="00E73494">
        <w:rPr>
          <w:rFonts w:ascii="Arial" w:hAnsi="Arial" w:cs="Arial"/>
        </w:rPr>
        <w:t xml:space="preserve"> и системы стоп и риск-факторов </w:t>
      </w:r>
      <w:r>
        <w:rPr>
          <w:rFonts w:ascii="Arial" w:hAnsi="Arial" w:cs="Arial"/>
        </w:rPr>
        <w:t xml:space="preserve">автоматически </w:t>
      </w:r>
      <w:r w:rsidRPr="00E73494">
        <w:rPr>
          <w:rFonts w:ascii="Arial" w:hAnsi="Arial" w:cs="Arial"/>
        </w:rPr>
        <w:t xml:space="preserve">сформировалась оценка «не соответствует» или возникла пограничная ситуация, однако если при этом, по мнению </w:t>
      </w:r>
      <w:r>
        <w:rPr>
          <w:rFonts w:ascii="Arial" w:hAnsi="Arial" w:cs="Arial"/>
        </w:rPr>
        <w:t>э</w:t>
      </w:r>
      <w:r w:rsidRPr="00E73494">
        <w:rPr>
          <w:rFonts w:ascii="Arial" w:hAnsi="Arial" w:cs="Arial"/>
        </w:rPr>
        <w:t>ксперта, имеются достаточные основания для повышения оценки до «соответствует»</w:t>
      </w:r>
      <w:r>
        <w:rPr>
          <w:rFonts w:ascii="Arial" w:hAnsi="Arial" w:cs="Arial"/>
        </w:rPr>
        <w:t xml:space="preserve"> и допуска участника до оценочной стадии</w:t>
      </w:r>
      <w:r w:rsidRPr="00E73494">
        <w:rPr>
          <w:rFonts w:ascii="Arial" w:hAnsi="Arial" w:cs="Arial"/>
        </w:rPr>
        <w:t xml:space="preserve">, </w:t>
      </w:r>
      <w:r>
        <w:rPr>
          <w:rFonts w:ascii="Arial" w:hAnsi="Arial" w:cs="Arial"/>
        </w:rPr>
        <w:t>э</w:t>
      </w:r>
      <w:r w:rsidRPr="00E73494">
        <w:rPr>
          <w:rFonts w:ascii="Arial" w:hAnsi="Arial" w:cs="Arial"/>
        </w:rPr>
        <w:t>ксперт должен внести необходимые корректировки с обоснованием своей позиции в экспертном заключении.</w:t>
      </w:r>
      <w:r>
        <w:rPr>
          <w:rFonts w:ascii="Arial" w:hAnsi="Arial" w:cs="Arial"/>
        </w:rPr>
        <w:t xml:space="preserve"> Итоговая оценка на оценочной стадии за исключением случаев, описанных </w:t>
      </w:r>
      <w:r w:rsidRPr="000E5F8B">
        <w:rPr>
          <w:rFonts w:ascii="Arial" w:hAnsi="Arial" w:cs="Arial"/>
        </w:rPr>
        <w:t>в п. 11.3.7., при этом</w:t>
      </w:r>
      <w:r>
        <w:rPr>
          <w:rFonts w:ascii="Arial" w:hAnsi="Arial" w:cs="Arial"/>
        </w:rPr>
        <w:t xml:space="preserve"> не должна превышать 1 по пятибалльной шкале (минимально допустимый уровень).</w:t>
      </w:r>
    </w:p>
    <w:p w:rsidR="00EB2DE4" w:rsidRDefault="00EB2DE4" w:rsidP="00EB2DE4">
      <w:pPr>
        <w:numPr>
          <w:ilvl w:val="2"/>
          <w:numId w:val="5"/>
        </w:numPr>
        <w:tabs>
          <w:tab w:val="clear" w:pos="1584"/>
          <w:tab w:val="num" w:pos="851"/>
        </w:tabs>
        <w:spacing w:after="60"/>
        <w:ind w:left="0" w:firstLine="0"/>
        <w:jc w:val="both"/>
        <w:rPr>
          <w:rFonts w:ascii="Arial" w:hAnsi="Arial" w:cs="Arial"/>
        </w:rPr>
      </w:pPr>
      <w:r w:rsidRPr="00C62D61">
        <w:rPr>
          <w:rFonts w:ascii="Arial" w:hAnsi="Arial" w:cs="Arial"/>
        </w:rPr>
        <w:t>На оценочной стадии финансово-экономической экспертизы предложения участников закупочной процедуры, прошедших отборочную стадию, ранжируются</w:t>
      </w:r>
      <w:r w:rsidRPr="00D027C4">
        <w:rPr>
          <w:rFonts w:ascii="Arial" w:hAnsi="Arial" w:cs="Arial"/>
        </w:rPr>
        <w:t xml:space="preserve"> </w:t>
      </w:r>
      <w:r>
        <w:rPr>
          <w:rFonts w:ascii="Arial" w:hAnsi="Arial" w:cs="Arial"/>
        </w:rPr>
        <w:t xml:space="preserve">между собой. </w:t>
      </w:r>
      <w:r w:rsidRPr="00C62D61">
        <w:rPr>
          <w:rFonts w:ascii="Arial" w:hAnsi="Arial" w:cs="Arial"/>
        </w:rPr>
        <w:t xml:space="preserve">В основе количественной меры для сравнения </w:t>
      </w:r>
      <w:r>
        <w:rPr>
          <w:rFonts w:ascii="Arial" w:hAnsi="Arial" w:cs="Arial"/>
        </w:rPr>
        <w:t>предложений участников</w:t>
      </w:r>
      <w:r w:rsidRPr="00C62D61">
        <w:rPr>
          <w:rFonts w:ascii="Arial" w:hAnsi="Arial" w:cs="Arial"/>
        </w:rPr>
        <w:t xml:space="preserve"> в рамках финансово-экономической экспертизы, также используется первичный балл от 0 до 1, полученный в результате пр</w:t>
      </w:r>
      <w:r>
        <w:rPr>
          <w:rFonts w:ascii="Arial" w:hAnsi="Arial" w:cs="Arial"/>
        </w:rPr>
        <w:t>именения балльно-весового подхода</w:t>
      </w:r>
      <w:r w:rsidRPr="00C62D61">
        <w:rPr>
          <w:rFonts w:ascii="Arial" w:hAnsi="Arial" w:cs="Arial"/>
        </w:rPr>
        <w:t>. Все компании, набравшие более 0,</w:t>
      </w:r>
      <w:r>
        <w:rPr>
          <w:rFonts w:ascii="Arial" w:hAnsi="Arial" w:cs="Arial"/>
        </w:rPr>
        <w:t>4</w:t>
      </w:r>
      <w:r w:rsidRPr="00C62D61">
        <w:rPr>
          <w:rFonts w:ascii="Arial" w:hAnsi="Arial" w:cs="Arial"/>
        </w:rPr>
        <w:t xml:space="preserve">5 баллов по шкале от 0 до 1 (по которым принято положительное решение на отборочной стадии) ранжируются с присвоением оценки по пятибалльной шкале от </w:t>
      </w:r>
      <w:r w:rsidRPr="00751F27">
        <w:rPr>
          <w:rFonts w:ascii="Arial" w:hAnsi="Arial" w:cs="Arial"/>
        </w:rPr>
        <w:t>0</w:t>
      </w:r>
      <w:r w:rsidRPr="00C62D61">
        <w:rPr>
          <w:rFonts w:ascii="Arial" w:hAnsi="Arial" w:cs="Arial"/>
        </w:rPr>
        <w:t xml:space="preserve"> до 5. </w:t>
      </w:r>
      <w:r w:rsidRPr="00751F27">
        <w:rPr>
          <w:rFonts w:ascii="Arial" w:hAnsi="Arial" w:cs="Arial"/>
        </w:rPr>
        <w:t>Порядо</w:t>
      </w:r>
      <w:r>
        <w:rPr>
          <w:rFonts w:ascii="Arial" w:hAnsi="Arial" w:cs="Arial"/>
        </w:rPr>
        <w:t>к</w:t>
      </w:r>
      <w:r w:rsidRPr="00751F27">
        <w:rPr>
          <w:rFonts w:ascii="Arial" w:hAnsi="Arial" w:cs="Arial"/>
        </w:rPr>
        <w:t xml:space="preserve"> перевода шкалы от </w:t>
      </w:r>
      <w:r>
        <w:rPr>
          <w:rFonts w:ascii="Arial" w:hAnsi="Arial" w:cs="Arial"/>
        </w:rPr>
        <w:t>0 до 1 в шкалу от 0 до 5 установлен методикой.</w:t>
      </w:r>
    </w:p>
    <w:p w:rsidR="00EB2DE4" w:rsidRDefault="00EB2DE4" w:rsidP="00EB2DE4">
      <w:pPr>
        <w:numPr>
          <w:ilvl w:val="2"/>
          <w:numId w:val="5"/>
        </w:numPr>
        <w:tabs>
          <w:tab w:val="clear" w:pos="1584"/>
          <w:tab w:val="num" w:pos="851"/>
        </w:tabs>
        <w:spacing w:after="60"/>
        <w:ind w:left="0" w:firstLine="0"/>
        <w:jc w:val="both"/>
        <w:rPr>
          <w:rFonts w:ascii="Arial" w:hAnsi="Arial" w:cs="Arial"/>
        </w:rPr>
      </w:pPr>
      <w:r w:rsidRPr="00BE3ECC">
        <w:rPr>
          <w:rFonts w:ascii="Arial" w:hAnsi="Arial" w:cs="Arial"/>
        </w:rPr>
        <w:t xml:space="preserve">За </w:t>
      </w:r>
      <w:r>
        <w:rPr>
          <w:rFonts w:ascii="Arial" w:hAnsi="Arial" w:cs="Arial"/>
        </w:rPr>
        <w:t>э</w:t>
      </w:r>
      <w:r w:rsidRPr="00BE3ECC">
        <w:rPr>
          <w:rFonts w:ascii="Arial" w:hAnsi="Arial" w:cs="Arial"/>
        </w:rPr>
        <w:t xml:space="preserve">кспертом </w:t>
      </w:r>
      <w:r>
        <w:rPr>
          <w:rFonts w:ascii="Arial" w:hAnsi="Arial" w:cs="Arial"/>
        </w:rPr>
        <w:t xml:space="preserve">на оценочной стадии </w:t>
      </w:r>
      <w:r w:rsidRPr="00BE3ECC">
        <w:rPr>
          <w:rFonts w:ascii="Arial" w:hAnsi="Arial" w:cs="Arial"/>
        </w:rPr>
        <w:t>закрепляется право в отдельных случаях (см. таблицу</w:t>
      </w:r>
      <w:r>
        <w:rPr>
          <w:rFonts w:ascii="Arial" w:hAnsi="Arial" w:cs="Arial"/>
        </w:rPr>
        <w:t xml:space="preserve"> Алгоритм принятия решения</w:t>
      </w:r>
      <w:r w:rsidRPr="00BE3ECC">
        <w:rPr>
          <w:rFonts w:ascii="Arial" w:hAnsi="Arial" w:cs="Arial"/>
        </w:rPr>
        <w:t>) повышать или понижать</w:t>
      </w:r>
      <w:r>
        <w:rPr>
          <w:rFonts w:ascii="Arial" w:hAnsi="Arial" w:cs="Arial"/>
        </w:rPr>
        <w:t>, если иное специально не оговорено в методике,</w:t>
      </w:r>
      <w:r w:rsidRPr="00BE3ECC">
        <w:rPr>
          <w:rFonts w:ascii="Arial" w:hAnsi="Arial" w:cs="Arial"/>
        </w:rPr>
        <w:t xml:space="preserve"> не более чем на 1 балл по пятибалльной шкале оценку, полученную автоматически</w:t>
      </w:r>
      <w:r>
        <w:rPr>
          <w:rFonts w:ascii="Arial" w:hAnsi="Arial" w:cs="Arial"/>
        </w:rPr>
        <w:t>.</w:t>
      </w:r>
    </w:p>
    <w:p w:rsidR="00EB2DE4" w:rsidRPr="00AD35B5" w:rsidRDefault="00EB2DE4" w:rsidP="00EB2DE4">
      <w:pPr>
        <w:numPr>
          <w:ilvl w:val="2"/>
          <w:numId w:val="5"/>
        </w:numPr>
        <w:tabs>
          <w:tab w:val="clear" w:pos="1584"/>
          <w:tab w:val="num" w:pos="851"/>
        </w:tabs>
        <w:spacing w:after="60"/>
        <w:ind w:left="0" w:firstLine="0"/>
        <w:jc w:val="both"/>
        <w:rPr>
          <w:rFonts w:ascii="Arial" w:hAnsi="Arial" w:cs="Arial"/>
        </w:rPr>
      </w:pPr>
      <w:r>
        <w:rPr>
          <w:rFonts w:ascii="Arial" w:hAnsi="Arial" w:cs="Arial"/>
        </w:rPr>
        <w:t xml:space="preserve">С целью расширения доступа субъектов малого и среднего предпринимательства к участию в конкурентных закупочных процедурах, организованных Обществом, </w:t>
      </w:r>
      <w:r w:rsidRPr="00AD35B5">
        <w:rPr>
          <w:rFonts w:ascii="Arial" w:hAnsi="Arial" w:cs="Arial"/>
        </w:rPr>
        <w:t>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w:t>
      </w:r>
      <w:r>
        <w:rPr>
          <w:rFonts w:ascii="Arial" w:hAnsi="Arial" w:cs="Arial"/>
        </w:rPr>
        <w:t xml:space="preserve"> экспертно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экспертно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w:t>
      </w:r>
      <w:r w:rsidRPr="00AD35B5">
        <w:rPr>
          <w:rFonts w:ascii="Arial" w:hAnsi="Arial" w:cs="Arial"/>
        </w:rPr>
        <w:t xml:space="preserve">. К таким случаям могут относиться конкурентные закупочные процедуры по перечисленным ниже </w:t>
      </w:r>
      <w:r>
        <w:rPr>
          <w:rFonts w:ascii="Arial" w:hAnsi="Arial" w:cs="Arial"/>
        </w:rPr>
        <w:t xml:space="preserve">статьям расходов бизнес-дивизиона «Электрогенерация» </w:t>
      </w:r>
      <w:r w:rsidRPr="00AD35B5">
        <w:rPr>
          <w:rFonts w:ascii="Arial" w:hAnsi="Arial" w:cs="Arial"/>
        </w:rPr>
        <w:t xml:space="preserve">и плановая </w:t>
      </w:r>
      <w:r>
        <w:rPr>
          <w:rFonts w:ascii="Arial" w:hAnsi="Arial" w:cs="Arial"/>
        </w:rPr>
        <w:t>стоимость</w:t>
      </w:r>
      <w:r w:rsidRPr="00AD35B5">
        <w:rPr>
          <w:rFonts w:ascii="Arial" w:hAnsi="Arial" w:cs="Arial"/>
        </w:rPr>
        <w:t xml:space="preserve"> закупки по которым не превышает </w:t>
      </w:r>
      <w:r>
        <w:rPr>
          <w:rFonts w:ascii="Arial" w:hAnsi="Arial" w:cs="Arial"/>
        </w:rPr>
        <w:t>2</w:t>
      </w:r>
      <w:r w:rsidRPr="00AD35B5">
        <w:rPr>
          <w:rFonts w:ascii="Arial" w:hAnsi="Arial" w:cs="Arial"/>
        </w:rPr>
        <w:t>0 млн. рублей без НДС:</w:t>
      </w:r>
    </w:p>
    <w:p w:rsidR="00EB2DE4" w:rsidRDefault="00EB2DE4" w:rsidP="00EB2DE4">
      <w:pPr>
        <w:numPr>
          <w:ilvl w:val="3"/>
          <w:numId w:val="19"/>
        </w:numPr>
        <w:ind w:left="1985"/>
        <w:jc w:val="both"/>
        <w:rPr>
          <w:rFonts w:ascii="Arial" w:hAnsi="Arial" w:cs="Arial"/>
        </w:rPr>
      </w:pPr>
      <w:r>
        <w:rPr>
          <w:rFonts w:ascii="Arial" w:hAnsi="Arial" w:cs="Arial"/>
        </w:rPr>
        <w:t>административно-хозяйственные расходы (поставки и услуги);</w:t>
      </w:r>
    </w:p>
    <w:p w:rsidR="00EB2DE4" w:rsidRDefault="00EB2DE4" w:rsidP="00EB2DE4">
      <w:pPr>
        <w:numPr>
          <w:ilvl w:val="3"/>
          <w:numId w:val="19"/>
        </w:numPr>
        <w:ind w:left="1985"/>
        <w:jc w:val="both"/>
        <w:rPr>
          <w:rFonts w:ascii="Arial" w:hAnsi="Arial" w:cs="Arial"/>
        </w:rPr>
      </w:pPr>
      <w:r>
        <w:rPr>
          <w:rFonts w:ascii="Arial" w:hAnsi="Arial" w:cs="Arial"/>
        </w:rPr>
        <w:t>охрана (услуги);</w:t>
      </w:r>
    </w:p>
    <w:p w:rsidR="00EB2DE4" w:rsidRDefault="00EB2DE4" w:rsidP="00EB2DE4">
      <w:pPr>
        <w:numPr>
          <w:ilvl w:val="3"/>
          <w:numId w:val="19"/>
        </w:numPr>
        <w:ind w:left="1985"/>
        <w:jc w:val="both"/>
        <w:rPr>
          <w:rFonts w:ascii="Arial" w:hAnsi="Arial" w:cs="Arial"/>
        </w:rPr>
      </w:pPr>
      <w:r>
        <w:rPr>
          <w:rFonts w:ascii="Arial" w:hAnsi="Arial" w:cs="Arial"/>
        </w:rPr>
        <w:t>консультационные и информационные расходы (поставки и услуги);</w:t>
      </w:r>
    </w:p>
    <w:p w:rsidR="00EB2DE4" w:rsidRDefault="00EB2DE4" w:rsidP="00EB2DE4">
      <w:pPr>
        <w:numPr>
          <w:ilvl w:val="3"/>
          <w:numId w:val="19"/>
        </w:numPr>
        <w:ind w:left="1985"/>
        <w:jc w:val="both"/>
        <w:rPr>
          <w:rFonts w:ascii="Arial" w:hAnsi="Arial" w:cs="Arial"/>
        </w:rPr>
      </w:pPr>
      <w:r>
        <w:rPr>
          <w:rFonts w:ascii="Arial" w:hAnsi="Arial" w:cs="Arial"/>
        </w:rPr>
        <w:t>аудит и оценка (поставки и услуги);</w:t>
      </w:r>
    </w:p>
    <w:p w:rsidR="00EB2DE4" w:rsidRDefault="00EB2DE4" w:rsidP="00EB2DE4">
      <w:pPr>
        <w:numPr>
          <w:ilvl w:val="3"/>
          <w:numId w:val="19"/>
        </w:numPr>
        <w:ind w:left="1985"/>
        <w:jc w:val="both"/>
        <w:rPr>
          <w:rFonts w:ascii="Arial" w:hAnsi="Arial" w:cs="Arial"/>
        </w:rPr>
      </w:pPr>
      <w:r>
        <w:rPr>
          <w:rFonts w:ascii="Arial" w:hAnsi="Arial" w:cs="Arial"/>
        </w:rPr>
        <w:t>юридические услуги (поставки и услуги);</w:t>
      </w:r>
    </w:p>
    <w:p w:rsidR="00EB2DE4" w:rsidRDefault="00EB2DE4" w:rsidP="00EB2DE4">
      <w:pPr>
        <w:numPr>
          <w:ilvl w:val="3"/>
          <w:numId w:val="19"/>
        </w:numPr>
        <w:ind w:left="1985"/>
        <w:jc w:val="both"/>
        <w:rPr>
          <w:rFonts w:ascii="Arial" w:hAnsi="Arial" w:cs="Arial"/>
        </w:rPr>
      </w:pPr>
      <w:r>
        <w:rPr>
          <w:rFonts w:ascii="Arial" w:hAnsi="Arial" w:cs="Arial"/>
        </w:rPr>
        <w:t>корпоративное управление (поставки и услуги);</w:t>
      </w:r>
    </w:p>
    <w:p w:rsidR="00EB2DE4" w:rsidRDefault="00EB2DE4" w:rsidP="00EB2DE4">
      <w:pPr>
        <w:numPr>
          <w:ilvl w:val="3"/>
          <w:numId w:val="19"/>
        </w:numPr>
        <w:ind w:left="1985"/>
        <w:jc w:val="both"/>
        <w:rPr>
          <w:rFonts w:ascii="Arial" w:hAnsi="Arial" w:cs="Arial"/>
        </w:rPr>
      </w:pPr>
      <w:r>
        <w:rPr>
          <w:rFonts w:ascii="Arial" w:hAnsi="Arial" w:cs="Arial"/>
        </w:rPr>
        <w:t>расходы на персонал (поставки и услуги);</w:t>
      </w:r>
    </w:p>
    <w:p w:rsidR="00EB2DE4" w:rsidRDefault="00EB2DE4" w:rsidP="00EB2DE4">
      <w:pPr>
        <w:numPr>
          <w:ilvl w:val="3"/>
          <w:numId w:val="19"/>
        </w:numPr>
        <w:spacing w:after="120"/>
        <w:ind w:left="1984" w:hanging="357"/>
        <w:jc w:val="both"/>
        <w:rPr>
          <w:rFonts w:ascii="Arial" w:hAnsi="Arial" w:cs="Arial"/>
        </w:rPr>
      </w:pPr>
      <w:r>
        <w:rPr>
          <w:rFonts w:ascii="Arial" w:hAnsi="Arial" w:cs="Arial"/>
        </w:rPr>
        <w:t>реклама и маркетинг (поставки и услуги).</w:t>
      </w:r>
    </w:p>
    <w:p w:rsidR="00EB2DE4" w:rsidRDefault="00EB2DE4" w:rsidP="00EB2DE4">
      <w:pPr>
        <w:numPr>
          <w:ilvl w:val="2"/>
          <w:numId w:val="5"/>
        </w:numPr>
        <w:tabs>
          <w:tab w:val="clear" w:pos="1584"/>
          <w:tab w:val="num" w:pos="851"/>
        </w:tabs>
        <w:spacing w:after="60"/>
        <w:ind w:left="0" w:firstLine="0"/>
        <w:jc w:val="both"/>
        <w:rPr>
          <w:rFonts w:ascii="Arial" w:hAnsi="Arial" w:cs="Arial"/>
        </w:rPr>
      </w:pPr>
      <w:r w:rsidRPr="006B7F22">
        <w:rPr>
          <w:rFonts w:ascii="Arial" w:hAnsi="Arial" w:cs="Arial"/>
        </w:rPr>
        <w:lastRenderedPageBreak/>
        <w:t xml:space="preserve">По результатам проведенной финансово-экономической экспертизы </w:t>
      </w:r>
      <w:r>
        <w:rPr>
          <w:rFonts w:ascii="Arial" w:hAnsi="Arial" w:cs="Arial"/>
        </w:rPr>
        <w:t>э</w:t>
      </w:r>
      <w:r w:rsidRPr="006B7F22">
        <w:rPr>
          <w:rFonts w:ascii="Arial" w:hAnsi="Arial" w:cs="Arial"/>
        </w:rPr>
        <w:t>ксперт по каждому участнику закупочной процедуры готовит при необходимости, обусловленной требов</w:t>
      </w:r>
      <w:r>
        <w:rPr>
          <w:rFonts w:ascii="Arial" w:hAnsi="Arial" w:cs="Arial"/>
        </w:rPr>
        <w:t>аниями закупочной документации,</w:t>
      </w:r>
      <w:r w:rsidRPr="006B7F22">
        <w:rPr>
          <w:rFonts w:ascii="Arial" w:hAnsi="Arial" w:cs="Arial"/>
        </w:rPr>
        <w:t xml:space="preserve"> экспертное заключение с указанием наиболее значимых факторов, повлиявших на итоговую оценку.</w:t>
      </w:r>
    </w:p>
    <w:p w:rsidR="00EB2DE4" w:rsidRPr="0096793A" w:rsidRDefault="00EB2DE4" w:rsidP="00EB2DE4">
      <w:pPr>
        <w:numPr>
          <w:ilvl w:val="2"/>
          <w:numId w:val="5"/>
        </w:numPr>
        <w:tabs>
          <w:tab w:val="clear" w:pos="1584"/>
          <w:tab w:val="num" w:pos="851"/>
        </w:tabs>
        <w:spacing w:after="60"/>
        <w:ind w:left="0" w:firstLine="0"/>
        <w:jc w:val="both"/>
        <w:rPr>
          <w:rFonts w:ascii="Arial" w:hAnsi="Arial" w:cs="Arial"/>
        </w:rPr>
      </w:pPr>
      <w:r w:rsidRPr="006B7F22">
        <w:rPr>
          <w:rFonts w:ascii="Arial" w:hAnsi="Arial" w:cs="Arial"/>
        </w:rPr>
        <w:t xml:space="preserve">В случае </w:t>
      </w:r>
      <w:r w:rsidRPr="00713C0B">
        <w:rPr>
          <w:rFonts w:ascii="Arial" w:hAnsi="Arial" w:cs="Arial"/>
        </w:rPr>
        <w:t xml:space="preserve">если решение, принятое </w:t>
      </w:r>
      <w:r>
        <w:rPr>
          <w:rFonts w:ascii="Arial" w:hAnsi="Arial" w:cs="Arial"/>
        </w:rPr>
        <w:t>э</w:t>
      </w:r>
      <w:r w:rsidRPr="00713C0B">
        <w:rPr>
          <w:rFonts w:ascii="Arial" w:hAnsi="Arial" w:cs="Arial"/>
        </w:rPr>
        <w:t>кспертом в рамках финансово-экономической экспертизы, отличается от принятого автоматически</w:t>
      </w:r>
      <w:r w:rsidRPr="0096793A">
        <w:rPr>
          <w:rFonts w:ascii="Arial" w:hAnsi="Arial" w:cs="Arial"/>
        </w:rPr>
        <w:t xml:space="preserve"> в рамках балльно-весового подхода, определенного настоящей </w:t>
      </w:r>
      <w:r>
        <w:rPr>
          <w:rFonts w:ascii="Arial" w:hAnsi="Arial" w:cs="Arial"/>
        </w:rPr>
        <w:t>м</w:t>
      </w:r>
      <w:r w:rsidRPr="0096793A">
        <w:rPr>
          <w:rFonts w:ascii="Arial" w:hAnsi="Arial" w:cs="Arial"/>
        </w:rPr>
        <w:t xml:space="preserve">етодикой, то </w:t>
      </w:r>
      <w:r w:rsidRPr="00713C0B">
        <w:rPr>
          <w:rFonts w:ascii="Arial" w:hAnsi="Arial" w:cs="Arial"/>
        </w:rPr>
        <w:t>формирование Экспертом письменного заключения</w:t>
      </w:r>
      <w:r w:rsidRPr="0096793A">
        <w:rPr>
          <w:rFonts w:ascii="Arial" w:hAnsi="Arial" w:cs="Arial"/>
        </w:rPr>
        <w:t xml:space="preserve"> с указанием факторов, повлиявших на итоговую оценку, </w:t>
      </w:r>
      <w:r w:rsidRPr="00713C0B">
        <w:rPr>
          <w:rFonts w:ascii="Arial" w:hAnsi="Arial" w:cs="Arial"/>
        </w:rPr>
        <w:t>является обязательным</w:t>
      </w:r>
      <w:r w:rsidRPr="0096793A">
        <w:rPr>
          <w:rFonts w:ascii="Arial" w:hAnsi="Arial" w:cs="Arial"/>
        </w:rPr>
        <w:t>.</w:t>
      </w:r>
    </w:p>
    <w:p w:rsidR="00EB2DE4" w:rsidRDefault="00EB2DE4" w:rsidP="00EB2DE4">
      <w:pPr>
        <w:numPr>
          <w:ilvl w:val="2"/>
          <w:numId w:val="5"/>
        </w:numPr>
        <w:tabs>
          <w:tab w:val="clear" w:pos="1584"/>
          <w:tab w:val="num" w:pos="851"/>
        </w:tabs>
        <w:spacing w:after="60"/>
        <w:ind w:left="0" w:firstLine="0"/>
        <w:jc w:val="both"/>
        <w:rPr>
          <w:rFonts w:ascii="Arial" w:hAnsi="Arial" w:cs="Arial"/>
        </w:rPr>
      </w:pPr>
      <w:r w:rsidRPr="00FB7EA7">
        <w:rPr>
          <w:rFonts w:ascii="Arial" w:hAnsi="Arial" w:cs="Arial"/>
        </w:rPr>
        <w:t>В случае если компания, являющаяся участником конкурентной закупочной процедуры, входит в группу компаний, о которой достоверно известно, что данная группа обладает достаточной финансовой устойчивостью (</w:t>
      </w:r>
      <w:r w:rsidRPr="00C9641A">
        <w:rPr>
          <w:rFonts w:ascii="Arial" w:hAnsi="Arial" w:cs="Arial"/>
        </w:rPr>
        <w:t>что под</w:t>
      </w:r>
      <w:r w:rsidRPr="00513D1B">
        <w:rPr>
          <w:rFonts w:ascii="Arial" w:hAnsi="Arial" w:cs="Arial"/>
        </w:rPr>
        <w:t xml:space="preserve">тверждено </w:t>
      </w:r>
      <w:r w:rsidRPr="009B4180">
        <w:rPr>
          <w:rFonts w:ascii="Arial" w:hAnsi="Arial" w:cs="Arial"/>
        </w:rPr>
        <w:t xml:space="preserve">международным кредитным рейтингом на уровне или выше BB- по </w:t>
      </w:r>
      <w:r w:rsidRPr="0096793A">
        <w:rPr>
          <w:rFonts w:ascii="Arial" w:hAnsi="Arial" w:cs="Arial"/>
        </w:rPr>
        <w:t>шкале Fitch/S&amp;P или Ba3 по шкале Moody’s) допускается экспертно повышать</w:t>
      </w:r>
      <w:r w:rsidRPr="00713C0B">
        <w:rPr>
          <w:rFonts w:ascii="Arial" w:hAnsi="Arial" w:cs="Arial"/>
        </w:rPr>
        <w:t xml:space="preserve"> итоговую оценку участника закупочной процедуры более чем на 1 балл</w:t>
      </w:r>
      <w:r>
        <w:rPr>
          <w:rFonts w:ascii="Arial" w:hAnsi="Arial" w:cs="Arial"/>
        </w:rPr>
        <w:t xml:space="preserve"> по пятибалльной шкале</w:t>
      </w:r>
      <w:r w:rsidRPr="00FB7EA7">
        <w:rPr>
          <w:rFonts w:ascii="Arial" w:hAnsi="Arial" w:cs="Arial"/>
        </w:rPr>
        <w:t xml:space="preserve">. Итоговая оценка </w:t>
      </w:r>
      <w:r>
        <w:rPr>
          <w:rFonts w:ascii="Arial" w:hAnsi="Arial" w:cs="Arial"/>
        </w:rPr>
        <w:t>в случае применения такой корректировки</w:t>
      </w:r>
      <w:r w:rsidRPr="00FB7EA7">
        <w:rPr>
          <w:rFonts w:ascii="Arial" w:hAnsi="Arial" w:cs="Arial"/>
        </w:rPr>
        <w:t xml:space="preserve"> не должна превышать трех баллов по пятибалльной шкале</w:t>
      </w:r>
      <w:r>
        <w:rPr>
          <w:rFonts w:ascii="Arial" w:hAnsi="Arial" w:cs="Arial"/>
        </w:rPr>
        <w:t>. Принадлежность участника к указанной группе подтверждается предоставлением консолидированной финансовой отчетности по МСФО за последний завершенный финансовый год.</w:t>
      </w:r>
    </w:p>
    <w:p w:rsidR="00EB2DE4" w:rsidRPr="00FB7EA7" w:rsidRDefault="00EB2DE4" w:rsidP="00EB2DE4">
      <w:pPr>
        <w:numPr>
          <w:ilvl w:val="2"/>
          <w:numId w:val="5"/>
        </w:numPr>
        <w:tabs>
          <w:tab w:val="clear" w:pos="1584"/>
          <w:tab w:val="num" w:pos="851"/>
        </w:tabs>
        <w:spacing w:after="60"/>
        <w:ind w:left="0" w:firstLine="0"/>
        <w:jc w:val="both"/>
        <w:rPr>
          <w:rFonts w:ascii="Arial" w:hAnsi="Arial" w:cs="Arial"/>
        </w:rPr>
      </w:pPr>
      <w:r>
        <w:rPr>
          <w:rFonts w:ascii="Arial" w:hAnsi="Arial" w:cs="Arial"/>
        </w:rPr>
        <w:t>Когда в качестве участника закупочной процедуры выступает консорциум,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rsidR="00EB2DE4" w:rsidRPr="006B7F22" w:rsidRDefault="00EB2DE4" w:rsidP="00EB2DE4">
      <w:pPr>
        <w:numPr>
          <w:ilvl w:val="2"/>
          <w:numId w:val="5"/>
        </w:numPr>
        <w:tabs>
          <w:tab w:val="clear" w:pos="1584"/>
          <w:tab w:val="num" w:pos="851"/>
        </w:tabs>
        <w:spacing w:after="60"/>
        <w:ind w:left="0" w:firstLine="0"/>
        <w:jc w:val="both"/>
        <w:rPr>
          <w:rFonts w:ascii="Arial" w:hAnsi="Arial" w:cs="Arial"/>
        </w:rPr>
      </w:pPr>
      <w:r>
        <w:rPr>
          <w:rFonts w:ascii="Arial" w:hAnsi="Arial" w:cs="Arial"/>
        </w:rPr>
        <w:t>В случаях, когда невозможно провести оценку участников в соответствии с набором критериев, сформулированных в настоящей методике, по причине особенной формы составления бухгалтерской отчетности оцениваемых компаний (п</w:t>
      </w:r>
      <w:r w:rsidRPr="00021F08">
        <w:rPr>
          <w:rFonts w:ascii="Arial" w:hAnsi="Arial" w:cs="Arial"/>
        </w:rPr>
        <w:t>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 и др.</w:t>
      </w:r>
      <w:r>
        <w:rPr>
          <w:rFonts w:ascii="Arial" w:hAnsi="Arial" w:cs="Arial"/>
        </w:rPr>
        <w:t xml:space="preserve">) </w:t>
      </w:r>
      <w:r w:rsidRPr="00021F08">
        <w:rPr>
          <w:rFonts w:ascii="Arial" w:hAnsi="Arial" w:cs="Arial"/>
        </w:rPr>
        <w:t>эксперт вправе изменить набор и степень значимости финансово-экономических критериев</w:t>
      </w:r>
      <w:r>
        <w:rPr>
          <w:rFonts w:ascii="Arial" w:hAnsi="Arial" w:cs="Arial"/>
        </w:rPr>
        <w:t xml:space="preserve"> с отражением внесенных изменений в экспертном заключении.</w:t>
      </w:r>
    </w:p>
    <w:p w:rsidR="00EB2DE4" w:rsidRDefault="00EB2DE4" w:rsidP="00EB2DE4">
      <w:pPr>
        <w:jc w:val="both"/>
      </w:pPr>
    </w:p>
    <w:p w:rsidR="00EB2DE4" w:rsidRPr="00751F27" w:rsidRDefault="00EB2DE4" w:rsidP="00EB2DE4">
      <w:pPr>
        <w:jc w:val="right"/>
        <w:rPr>
          <w:rFonts w:ascii="Arial" w:hAnsi="Arial" w:cs="Arial"/>
        </w:rPr>
      </w:pPr>
      <w:r w:rsidRPr="00B63723">
        <w:rPr>
          <w:rFonts w:ascii="Arial" w:hAnsi="Arial" w:cs="Arial"/>
        </w:rPr>
        <w:t>Таблица 12. Автоматическое</w:t>
      </w:r>
      <w:r>
        <w:rPr>
          <w:rFonts w:ascii="Arial" w:hAnsi="Arial" w:cs="Arial"/>
        </w:rPr>
        <w:t xml:space="preserve"> принятие</w:t>
      </w:r>
      <w:r w:rsidRPr="00751F27">
        <w:rPr>
          <w:rFonts w:ascii="Arial" w:hAnsi="Arial" w:cs="Arial"/>
        </w:rPr>
        <w:t xml:space="preserve"> решения</w:t>
      </w:r>
      <w:r>
        <w:rPr>
          <w:rFonts w:ascii="Arial" w:hAnsi="Arial" w:cs="Arial"/>
        </w:rPr>
        <w:t>.</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384"/>
      </w:tblGrid>
      <w:tr w:rsidR="00EB2DE4" w:rsidTr="00C162FA">
        <w:trPr>
          <w:trHeight w:val="503"/>
        </w:trPr>
        <w:tc>
          <w:tcPr>
            <w:tcW w:w="3276" w:type="dxa"/>
            <w:shd w:val="clear" w:color="auto" w:fill="auto"/>
            <w:vAlign w:val="center"/>
          </w:tcPr>
          <w:p w:rsidR="00EB2DE4" w:rsidRPr="00CF1A1F" w:rsidRDefault="00EB2DE4" w:rsidP="00C162FA">
            <w:pPr>
              <w:jc w:val="center"/>
              <w:rPr>
                <w:rFonts w:ascii="Calibri" w:hAnsi="Calibri" w:cs="Calibri"/>
                <w:b/>
                <w:color w:val="000000"/>
                <w:sz w:val="22"/>
                <w:szCs w:val="22"/>
              </w:rPr>
            </w:pPr>
            <w:r w:rsidRPr="00CF1A1F">
              <w:rPr>
                <w:rFonts w:ascii="Calibri" w:hAnsi="Calibri" w:cs="Calibri"/>
                <w:b/>
                <w:color w:val="000000"/>
                <w:sz w:val="22"/>
                <w:szCs w:val="22"/>
              </w:rPr>
              <w:t>Варианты автоматического решения</w:t>
            </w:r>
          </w:p>
        </w:tc>
        <w:tc>
          <w:tcPr>
            <w:tcW w:w="6384" w:type="dxa"/>
            <w:shd w:val="clear" w:color="auto" w:fill="auto"/>
            <w:vAlign w:val="center"/>
          </w:tcPr>
          <w:p w:rsidR="00EB2DE4" w:rsidRPr="00CF1A1F" w:rsidRDefault="00EB2DE4" w:rsidP="00C162FA">
            <w:pPr>
              <w:jc w:val="center"/>
              <w:rPr>
                <w:rFonts w:ascii="Calibri" w:hAnsi="Calibri" w:cs="Calibri"/>
                <w:b/>
                <w:color w:val="000000"/>
                <w:sz w:val="22"/>
                <w:szCs w:val="22"/>
              </w:rPr>
            </w:pPr>
            <w:r w:rsidRPr="00CF1A1F">
              <w:rPr>
                <w:rFonts w:ascii="Calibri" w:hAnsi="Calibri" w:cs="Calibri"/>
                <w:b/>
                <w:color w:val="000000"/>
                <w:sz w:val="22"/>
                <w:szCs w:val="22"/>
              </w:rPr>
              <w:t xml:space="preserve">Описание и действия </w:t>
            </w:r>
            <w:r>
              <w:rPr>
                <w:rFonts w:ascii="Calibri" w:hAnsi="Calibri" w:cs="Calibri"/>
                <w:b/>
                <w:color w:val="000000"/>
                <w:sz w:val="22"/>
                <w:szCs w:val="22"/>
              </w:rPr>
              <w:t>Э</w:t>
            </w:r>
            <w:r w:rsidRPr="00CF1A1F">
              <w:rPr>
                <w:rFonts w:ascii="Calibri" w:hAnsi="Calibri" w:cs="Calibri"/>
                <w:b/>
                <w:color w:val="000000"/>
                <w:sz w:val="22"/>
                <w:szCs w:val="22"/>
              </w:rPr>
              <w:t>ксперта</w:t>
            </w:r>
          </w:p>
        </w:tc>
      </w:tr>
      <w:tr w:rsidR="00EB2DE4" w:rsidTr="00C162FA">
        <w:trPr>
          <w:trHeight w:val="445"/>
        </w:trPr>
        <w:tc>
          <w:tcPr>
            <w:tcW w:w="3276" w:type="dxa"/>
            <w:shd w:val="clear" w:color="auto" w:fill="auto"/>
            <w:vAlign w:val="center"/>
          </w:tcPr>
          <w:p w:rsidR="00EB2DE4" w:rsidRPr="009D0C7B" w:rsidRDefault="00EB2DE4" w:rsidP="00C162FA">
            <w:pPr>
              <w:rPr>
                <w:rFonts w:ascii="Calibri" w:hAnsi="Calibri" w:cs="Calibri"/>
                <w:i/>
                <w:color w:val="000000"/>
                <w:sz w:val="22"/>
                <w:szCs w:val="22"/>
              </w:rPr>
            </w:pPr>
            <w:r w:rsidRPr="009D0C7B">
              <w:rPr>
                <w:rFonts w:ascii="Calibri" w:hAnsi="Calibri" w:cs="Calibri"/>
                <w:i/>
                <w:color w:val="000000"/>
                <w:sz w:val="22"/>
                <w:szCs w:val="22"/>
              </w:rPr>
              <w:t>Занести данные отчетности</w:t>
            </w:r>
          </w:p>
        </w:tc>
        <w:tc>
          <w:tcPr>
            <w:tcW w:w="6384" w:type="dxa"/>
            <w:shd w:val="clear" w:color="auto" w:fill="auto"/>
          </w:tcPr>
          <w:p w:rsidR="00EB2DE4" w:rsidRPr="00557840" w:rsidRDefault="00EB2DE4" w:rsidP="00C162FA">
            <w:pPr>
              <w:jc w:val="both"/>
              <w:rPr>
                <w:rFonts w:ascii="Calibri" w:hAnsi="Calibri" w:cs="Calibri"/>
                <w:color w:val="000000"/>
                <w:sz w:val="22"/>
                <w:szCs w:val="22"/>
              </w:rPr>
            </w:pPr>
            <w:r w:rsidRPr="00557840">
              <w:rPr>
                <w:rFonts w:ascii="Calibri" w:hAnsi="Calibri" w:cs="Calibri"/>
                <w:color w:val="000000"/>
                <w:sz w:val="22"/>
                <w:szCs w:val="22"/>
              </w:rPr>
              <w:t>Надпись возникает, когда не занесены данные бухгалтерской отчетности</w:t>
            </w:r>
          </w:p>
        </w:tc>
      </w:tr>
      <w:tr w:rsidR="00EB2DE4" w:rsidTr="00C162FA">
        <w:trPr>
          <w:trHeight w:val="885"/>
        </w:trPr>
        <w:tc>
          <w:tcPr>
            <w:tcW w:w="3276" w:type="dxa"/>
            <w:shd w:val="clear" w:color="auto" w:fill="auto"/>
            <w:vAlign w:val="center"/>
          </w:tcPr>
          <w:p w:rsidR="00EB2DE4" w:rsidRPr="009D0C7B" w:rsidRDefault="00EB2DE4" w:rsidP="00C162FA">
            <w:pPr>
              <w:rPr>
                <w:rFonts w:ascii="Calibri" w:hAnsi="Calibri" w:cs="Calibri"/>
                <w:i/>
                <w:color w:val="000000"/>
                <w:sz w:val="22"/>
                <w:szCs w:val="22"/>
              </w:rPr>
            </w:pPr>
            <w:r w:rsidRPr="009D0C7B">
              <w:rPr>
                <w:rFonts w:ascii="Calibri" w:hAnsi="Calibri" w:cs="Calibri"/>
                <w:i/>
                <w:color w:val="000000"/>
                <w:sz w:val="22"/>
                <w:szCs w:val="22"/>
              </w:rPr>
              <w:t>Автоматическое принятие решения</w:t>
            </w:r>
          </w:p>
        </w:tc>
        <w:tc>
          <w:tcPr>
            <w:tcW w:w="6384" w:type="dxa"/>
            <w:shd w:val="clear" w:color="auto" w:fill="auto"/>
          </w:tcPr>
          <w:p w:rsidR="00EB2DE4" w:rsidRPr="00557840" w:rsidRDefault="00EB2DE4" w:rsidP="00C162FA">
            <w:pPr>
              <w:jc w:val="both"/>
              <w:rPr>
                <w:rFonts w:ascii="Calibri" w:hAnsi="Calibri" w:cs="Calibri"/>
                <w:color w:val="000000"/>
                <w:sz w:val="22"/>
                <w:szCs w:val="22"/>
              </w:rPr>
            </w:pPr>
            <w:r w:rsidRPr="00557840">
              <w:rPr>
                <w:rFonts w:ascii="Calibri" w:hAnsi="Calibri" w:cs="Calibri"/>
                <w:color w:val="000000"/>
                <w:sz w:val="22"/>
                <w:szCs w:val="22"/>
              </w:rPr>
              <w:t>Надпись возникает, когда данные бухгалтерской отчетности занесены в соответствующие ячейки шаблона (файл Excel), однако остальные обязательные для заполнения ячейки пусты (отсутствуют регистрационные данные или не указана сумма планируемого договора). Надпись также может возникнуть в случае, если не полностью или не верно проставлены галочки в полях, предусмотренных для качественной оценки бизнес-</w:t>
            </w:r>
            <w:r w:rsidRPr="00557840">
              <w:rPr>
                <w:rFonts w:ascii="Calibri" w:hAnsi="Calibri" w:cs="Calibri"/>
                <w:color w:val="000000"/>
                <w:sz w:val="22"/>
                <w:szCs w:val="22"/>
              </w:rPr>
              <w:lastRenderedPageBreak/>
              <w:t>рисков</w:t>
            </w:r>
          </w:p>
        </w:tc>
      </w:tr>
      <w:tr w:rsidR="00EB2DE4" w:rsidTr="00C162FA">
        <w:trPr>
          <w:trHeight w:val="870"/>
        </w:trPr>
        <w:tc>
          <w:tcPr>
            <w:tcW w:w="3276" w:type="dxa"/>
            <w:shd w:val="clear" w:color="000000" w:fill="FFE5E5"/>
            <w:vAlign w:val="center"/>
          </w:tcPr>
          <w:p w:rsidR="00EB2DE4" w:rsidRPr="009D0C7B" w:rsidRDefault="00EB2DE4" w:rsidP="00C162FA">
            <w:pPr>
              <w:rPr>
                <w:rFonts w:ascii="Calibri" w:hAnsi="Calibri" w:cs="Calibri"/>
                <w:i/>
                <w:color w:val="000000"/>
                <w:sz w:val="22"/>
                <w:szCs w:val="22"/>
              </w:rPr>
            </w:pPr>
            <w:r w:rsidRPr="009D0C7B">
              <w:rPr>
                <w:rFonts w:ascii="Calibri" w:hAnsi="Calibri" w:cs="Calibri"/>
                <w:i/>
                <w:color w:val="000000"/>
                <w:sz w:val="22"/>
                <w:szCs w:val="22"/>
              </w:rPr>
              <w:lastRenderedPageBreak/>
              <w:t>Не соответствует (0)</w:t>
            </w:r>
          </w:p>
        </w:tc>
        <w:tc>
          <w:tcPr>
            <w:tcW w:w="6384" w:type="dxa"/>
            <w:shd w:val="clear" w:color="000000" w:fill="FFE5E5"/>
          </w:tcPr>
          <w:p w:rsidR="00EB2DE4" w:rsidRDefault="00EB2DE4" w:rsidP="00C162FA">
            <w:pPr>
              <w:jc w:val="both"/>
              <w:rPr>
                <w:rFonts w:ascii="Calibri" w:hAnsi="Calibri" w:cs="Calibri"/>
                <w:color w:val="000000"/>
                <w:sz w:val="22"/>
                <w:szCs w:val="22"/>
              </w:rPr>
            </w:pPr>
            <w:r w:rsidRPr="00557840">
              <w:rPr>
                <w:rFonts w:ascii="Calibri" w:hAnsi="Calibri" w:cs="Calibri"/>
                <w:color w:val="000000"/>
                <w:sz w:val="22"/>
                <w:szCs w:val="22"/>
              </w:rPr>
              <w:t xml:space="preserve">Такое автоматическое решение </w:t>
            </w:r>
            <w:r>
              <w:rPr>
                <w:rFonts w:ascii="Calibri" w:hAnsi="Calibri" w:cs="Calibri"/>
                <w:color w:val="000000"/>
                <w:sz w:val="22"/>
                <w:szCs w:val="22"/>
              </w:rPr>
              <w:t>возникает в</w:t>
            </w:r>
            <w:r w:rsidRPr="00557840">
              <w:rPr>
                <w:rFonts w:ascii="Calibri" w:hAnsi="Calibri" w:cs="Calibri"/>
                <w:color w:val="000000"/>
                <w:sz w:val="22"/>
                <w:szCs w:val="22"/>
              </w:rPr>
              <w:t xml:space="preserve"> ситуации, когда компания-участница закупочной процедуры, будучи оценена согласно балльно-весового подхода</w:t>
            </w:r>
            <w:r>
              <w:rPr>
                <w:rFonts w:ascii="Calibri" w:hAnsi="Calibri" w:cs="Calibri"/>
                <w:color w:val="000000"/>
                <w:sz w:val="22"/>
                <w:szCs w:val="22"/>
              </w:rPr>
              <w:t>,</w:t>
            </w:r>
            <w:r w:rsidRPr="00557840">
              <w:rPr>
                <w:rFonts w:ascii="Calibri" w:hAnsi="Calibri" w:cs="Calibri"/>
                <w:color w:val="000000"/>
                <w:sz w:val="22"/>
                <w:szCs w:val="22"/>
              </w:rPr>
              <w:t xml:space="preserve"> набирает менее 0,45 баллов по шкале от 0 до 1.</w:t>
            </w:r>
          </w:p>
          <w:p w:rsidR="00EB2DE4" w:rsidRPr="000F37BA" w:rsidRDefault="00EB2DE4" w:rsidP="00C162FA">
            <w:pPr>
              <w:jc w:val="both"/>
              <w:rPr>
                <w:rFonts w:ascii="Calibri" w:hAnsi="Calibri" w:cs="Calibri"/>
                <w:i/>
                <w:color w:val="000000"/>
                <w:sz w:val="22"/>
                <w:szCs w:val="22"/>
              </w:rPr>
            </w:pPr>
            <w:r w:rsidRPr="000F37BA">
              <w:rPr>
                <w:rFonts w:ascii="Calibri" w:hAnsi="Calibri" w:cs="Calibri"/>
                <w:b/>
                <w:i/>
                <w:color w:val="000000"/>
                <w:sz w:val="22"/>
                <w:szCs w:val="22"/>
              </w:rPr>
              <w:t xml:space="preserve">Действия </w:t>
            </w:r>
            <w:r>
              <w:rPr>
                <w:rFonts w:ascii="Calibri" w:hAnsi="Calibri" w:cs="Calibri"/>
                <w:b/>
                <w:i/>
                <w:color w:val="000000"/>
                <w:sz w:val="22"/>
                <w:szCs w:val="22"/>
              </w:rPr>
              <w:t>э</w:t>
            </w:r>
            <w:r w:rsidRPr="000F37BA">
              <w:rPr>
                <w:rFonts w:ascii="Calibri" w:hAnsi="Calibri" w:cs="Calibri"/>
                <w:b/>
                <w:i/>
                <w:color w:val="000000"/>
                <w:sz w:val="22"/>
                <w:szCs w:val="22"/>
              </w:rPr>
              <w:t xml:space="preserve">ксперта: </w:t>
            </w:r>
            <w:r>
              <w:rPr>
                <w:rFonts w:ascii="Calibri" w:hAnsi="Calibri" w:cs="Calibri"/>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настоящее методике, на оценочной стадии не должна превышать 1 (минимально допустимый уровень)</w:t>
            </w:r>
          </w:p>
        </w:tc>
      </w:tr>
      <w:tr w:rsidR="00EB2DE4" w:rsidTr="00C162FA">
        <w:trPr>
          <w:trHeight w:val="850"/>
        </w:trPr>
        <w:tc>
          <w:tcPr>
            <w:tcW w:w="3276" w:type="dxa"/>
            <w:shd w:val="clear" w:color="000000" w:fill="FFE5E5"/>
            <w:vAlign w:val="center"/>
          </w:tcPr>
          <w:p w:rsidR="00EB2DE4" w:rsidRPr="009D0C7B" w:rsidRDefault="00EB2DE4" w:rsidP="00C162FA">
            <w:pPr>
              <w:rPr>
                <w:rFonts w:ascii="Calibri" w:hAnsi="Calibri" w:cs="Calibri"/>
                <w:i/>
                <w:color w:val="000000"/>
                <w:sz w:val="22"/>
                <w:szCs w:val="22"/>
              </w:rPr>
            </w:pPr>
            <w:r w:rsidRPr="009D0C7B">
              <w:rPr>
                <w:rFonts w:ascii="Calibri" w:hAnsi="Calibri" w:cs="Calibri"/>
                <w:i/>
                <w:color w:val="000000"/>
                <w:sz w:val="22"/>
                <w:szCs w:val="22"/>
              </w:rPr>
              <w:t>Не соответствует (0) имеются стоп-факторы</w:t>
            </w:r>
          </w:p>
        </w:tc>
        <w:tc>
          <w:tcPr>
            <w:tcW w:w="6384" w:type="dxa"/>
            <w:shd w:val="clear" w:color="000000" w:fill="FFE5E5"/>
          </w:tcPr>
          <w:p w:rsidR="00EB2DE4" w:rsidRDefault="00EB2DE4" w:rsidP="00C162FA">
            <w:pPr>
              <w:jc w:val="both"/>
              <w:rPr>
                <w:rFonts w:ascii="Calibri" w:hAnsi="Calibri" w:cs="Calibri"/>
                <w:color w:val="000000"/>
                <w:sz w:val="22"/>
                <w:szCs w:val="22"/>
              </w:rPr>
            </w:pPr>
            <w:r w:rsidRPr="00557840">
              <w:rPr>
                <w:rFonts w:ascii="Calibri" w:hAnsi="Calibri" w:cs="Calibri"/>
                <w:color w:val="000000"/>
                <w:sz w:val="22"/>
                <w:szCs w:val="22"/>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rsidR="00EB2DE4" w:rsidRPr="00557840" w:rsidRDefault="00EB2DE4" w:rsidP="00C162FA">
            <w:pPr>
              <w:jc w:val="both"/>
              <w:rPr>
                <w:rFonts w:ascii="Calibri" w:hAnsi="Calibri" w:cs="Calibri"/>
                <w:color w:val="000000"/>
                <w:sz w:val="22"/>
                <w:szCs w:val="22"/>
              </w:rPr>
            </w:pPr>
            <w:r w:rsidRPr="000F37BA">
              <w:rPr>
                <w:rFonts w:ascii="Calibri" w:hAnsi="Calibri" w:cs="Calibri"/>
                <w:b/>
                <w:i/>
                <w:color w:val="000000"/>
                <w:sz w:val="22"/>
                <w:szCs w:val="22"/>
              </w:rPr>
              <w:t xml:space="preserve">Действия </w:t>
            </w:r>
            <w:r>
              <w:rPr>
                <w:rFonts w:ascii="Calibri" w:hAnsi="Calibri" w:cs="Calibri"/>
                <w:b/>
                <w:i/>
                <w:color w:val="000000"/>
                <w:sz w:val="22"/>
                <w:szCs w:val="22"/>
              </w:rPr>
              <w:t>э</w:t>
            </w:r>
            <w:r w:rsidRPr="000F37BA">
              <w:rPr>
                <w:rFonts w:ascii="Calibri" w:hAnsi="Calibri" w:cs="Calibri"/>
                <w:b/>
                <w:i/>
                <w:color w:val="000000"/>
                <w:sz w:val="22"/>
                <w:szCs w:val="22"/>
              </w:rPr>
              <w:t xml:space="preserve">ксперта: </w:t>
            </w:r>
            <w:r>
              <w:rPr>
                <w:rFonts w:ascii="Calibri" w:hAnsi="Calibri" w:cs="Calibri"/>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настоящей мтодике, на оценочной стадии не должна превышать 1 (минимально допустимый уровень)</w:t>
            </w:r>
          </w:p>
        </w:tc>
      </w:tr>
      <w:tr w:rsidR="00EB2DE4" w:rsidTr="00C162FA">
        <w:trPr>
          <w:trHeight w:val="765"/>
        </w:trPr>
        <w:tc>
          <w:tcPr>
            <w:tcW w:w="3276" w:type="dxa"/>
            <w:shd w:val="clear" w:color="000000" w:fill="F8FFB9"/>
            <w:vAlign w:val="center"/>
          </w:tcPr>
          <w:p w:rsidR="00EB2DE4" w:rsidRDefault="00EB2DE4" w:rsidP="00C162FA">
            <w:pPr>
              <w:rPr>
                <w:rFonts w:ascii="Calibri" w:hAnsi="Calibri" w:cs="Calibri"/>
                <w:i/>
                <w:color w:val="000000"/>
                <w:sz w:val="22"/>
                <w:szCs w:val="22"/>
              </w:rPr>
            </w:pPr>
            <w:r w:rsidRPr="009D0C7B">
              <w:rPr>
                <w:rFonts w:ascii="Calibri" w:hAnsi="Calibri" w:cs="Calibri"/>
                <w:i/>
                <w:color w:val="000000"/>
                <w:sz w:val="22"/>
                <w:szCs w:val="22"/>
              </w:rPr>
              <w:t>Необходимо участие эксперта (0)</w:t>
            </w:r>
          </w:p>
          <w:p w:rsidR="00EB2DE4" w:rsidRPr="009D0C7B" w:rsidRDefault="00EB2DE4" w:rsidP="00C162FA">
            <w:pPr>
              <w:rPr>
                <w:rFonts w:ascii="Calibri" w:hAnsi="Calibri" w:cs="Calibri"/>
                <w:i/>
                <w:color w:val="000000"/>
                <w:sz w:val="22"/>
                <w:szCs w:val="22"/>
              </w:rPr>
            </w:pPr>
          </w:p>
          <w:p w:rsidR="00EB2DE4" w:rsidRPr="009D0C7B" w:rsidRDefault="00EB2DE4" w:rsidP="00C162FA">
            <w:pPr>
              <w:rPr>
                <w:rFonts w:ascii="Calibri" w:hAnsi="Calibri" w:cs="Calibri"/>
                <w:i/>
                <w:color w:val="000000"/>
                <w:sz w:val="22"/>
                <w:szCs w:val="22"/>
              </w:rPr>
            </w:pPr>
            <w:r w:rsidRPr="009D0C7B">
              <w:rPr>
                <w:rFonts w:ascii="Calibri" w:hAnsi="Calibri" w:cs="Calibri"/>
                <w:i/>
                <w:color w:val="000000"/>
                <w:sz w:val="22"/>
                <w:szCs w:val="22"/>
              </w:rPr>
              <w:t>Необходимо участие эксперта (0) имеются риск-факторы</w:t>
            </w:r>
          </w:p>
        </w:tc>
        <w:tc>
          <w:tcPr>
            <w:tcW w:w="6384" w:type="dxa"/>
            <w:shd w:val="clear" w:color="000000" w:fill="F8FFB9"/>
          </w:tcPr>
          <w:p w:rsidR="00EB2DE4" w:rsidRDefault="00EB2DE4" w:rsidP="00C162FA">
            <w:pPr>
              <w:jc w:val="both"/>
              <w:rPr>
                <w:rFonts w:ascii="Calibri" w:hAnsi="Calibri" w:cs="Calibri"/>
                <w:color w:val="000000"/>
                <w:sz w:val="22"/>
                <w:szCs w:val="22"/>
              </w:rPr>
            </w:pPr>
            <w:r w:rsidRPr="00557840">
              <w:rPr>
                <w:rFonts w:ascii="Calibri" w:hAnsi="Calibri" w:cs="Calibri"/>
                <w:color w:val="000000"/>
                <w:sz w:val="22"/>
                <w:szCs w:val="22"/>
              </w:rPr>
              <w:t>Такое автоматическое решение соответствует ситуации, когда компания-</w:t>
            </w:r>
            <w:r>
              <w:rPr>
                <w:rFonts w:ascii="Calibri" w:hAnsi="Calibri" w:cs="Calibri"/>
                <w:color w:val="000000"/>
                <w:sz w:val="22"/>
                <w:szCs w:val="22"/>
              </w:rPr>
              <w:t xml:space="preserve">участница закупочной процедуры </w:t>
            </w:r>
            <w:r w:rsidRPr="00557840">
              <w:rPr>
                <w:rFonts w:ascii="Calibri" w:hAnsi="Calibri" w:cs="Calibri"/>
                <w:color w:val="000000"/>
                <w:sz w:val="22"/>
                <w:szCs w:val="22"/>
              </w:rPr>
              <w:t>набирает от 0,45 до 0,5 баллов по шкале от 0 до 1</w:t>
            </w:r>
            <w:r>
              <w:rPr>
                <w:rFonts w:ascii="Calibri" w:hAnsi="Calibri" w:cs="Calibri"/>
                <w:color w:val="000000"/>
                <w:sz w:val="22"/>
                <w:szCs w:val="22"/>
              </w:rPr>
              <w:t xml:space="preserve"> (пограничная ситуация)</w:t>
            </w:r>
            <w:r w:rsidRPr="00557840">
              <w:rPr>
                <w:rFonts w:ascii="Calibri" w:hAnsi="Calibri" w:cs="Calibri"/>
                <w:color w:val="000000"/>
                <w:sz w:val="22"/>
                <w:szCs w:val="22"/>
              </w:rPr>
              <w:t>. При этом имеется не более двух риск-факторов</w:t>
            </w:r>
            <w:r>
              <w:rPr>
                <w:rFonts w:ascii="Calibri" w:hAnsi="Calibri" w:cs="Calibri"/>
                <w:color w:val="000000"/>
                <w:sz w:val="22"/>
                <w:szCs w:val="22"/>
              </w:rPr>
              <w:t>.</w:t>
            </w:r>
          </w:p>
          <w:p w:rsidR="00EB2DE4" w:rsidRPr="00EF7F3B" w:rsidRDefault="00EB2DE4" w:rsidP="00C162FA">
            <w:pPr>
              <w:jc w:val="both"/>
              <w:rPr>
                <w:rFonts w:ascii="Calibri" w:hAnsi="Calibri" w:cs="Calibri"/>
                <w:i/>
                <w:color w:val="000000"/>
                <w:sz w:val="22"/>
                <w:szCs w:val="22"/>
              </w:rPr>
            </w:pPr>
            <w:r w:rsidRPr="000F37BA">
              <w:rPr>
                <w:rFonts w:ascii="Calibri" w:hAnsi="Calibri" w:cs="Calibri"/>
                <w:b/>
                <w:i/>
                <w:color w:val="000000"/>
                <w:sz w:val="22"/>
                <w:szCs w:val="22"/>
              </w:rPr>
              <w:t xml:space="preserve">Действия </w:t>
            </w:r>
            <w:r>
              <w:rPr>
                <w:rFonts w:ascii="Calibri" w:hAnsi="Calibri" w:cs="Calibri"/>
                <w:b/>
                <w:i/>
                <w:color w:val="000000"/>
                <w:sz w:val="22"/>
                <w:szCs w:val="22"/>
              </w:rPr>
              <w:t>э</w:t>
            </w:r>
            <w:r w:rsidRPr="000F37BA">
              <w:rPr>
                <w:rFonts w:ascii="Calibri" w:hAnsi="Calibri" w:cs="Calibri"/>
                <w:b/>
                <w:i/>
                <w:color w:val="000000"/>
                <w:sz w:val="22"/>
                <w:szCs w:val="22"/>
              </w:rPr>
              <w:t xml:space="preserve">ксперта: </w:t>
            </w:r>
            <w:r w:rsidRPr="00EF7F3B">
              <w:rPr>
                <w:rFonts w:ascii="Calibri" w:hAnsi="Calibri" w:cs="Calibri"/>
                <w:i/>
                <w:color w:val="000000"/>
                <w:sz w:val="22"/>
                <w:szCs w:val="22"/>
              </w:rPr>
              <w:t>на отборочной стадии</w:t>
            </w:r>
            <w:r>
              <w:rPr>
                <w:rFonts w:ascii="Calibri" w:hAnsi="Calibri" w:cs="Calibri"/>
                <w:b/>
                <w:i/>
                <w:color w:val="000000"/>
                <w:sz w:val="22"/>
                <w:szCs w:val="22"/>
              </w:rPr>
              <w:t xml:space="preserve"> </w:t>
            </w:r>
            <w:r w:rsidRPr="000F37BA">
              <w:rPr>
                <w:rFonts w:ascii="Calibri" w:hAnsi="Calibri" w:cs="Calibri"/>
                <w:i/>
                <w:color w:val="000000"/>
                <w:sz w:val="22"/>
                <w:szCs w:val="22"/>
              </w:rPr>
              <w:t>в пограничной ситуации</w:t>
            </w:r>
            <w:r>
              <w:rPr>
                <w:rFonts w:ascii="Calibri" w:hAnsi="Calibri" w:cs="Calibri"/>
                <w:b/>
                <w:i/>
                <w:color w:val="000000"/>
                <w:sz w:val="22"/>
                <w:szCs w:val="22"/>
              </w:rPr>
              <w:t xml:space="preserve"> </w:t>
            </w:r>
            <w:r>
              <w:rPr>
                <w:rFonts w:ascii="Calibri" w:hAnsi="Calibri" w:cs="Calibri"/>
                <w:i/>
                <w:color w:val="000000"/>
                <w:sz w:val="22"/>
                <w:szCs w:val="22"/>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настоящей методике (минимально допустимый уровень)</w:t>
            </w:r>
          </w:p>
        </w:tc>
      </w:tr>
      <w:tr w:rsidR="00EB2DE4" w:rsidTr="00C162FA">
        <w:trPr>
          <w:trHeight w:val="712"/>
        </w:trPr>
        <w:tc>
          <w:tcPr>
            <w:tcW w:w="3276" w:type="dxa"/>
            <w:shd w:val="clear" w:color="000000" w:fill="F8FFB9"/>
            <w:vAlign w:val="center"/>
          </w:tcPr>
          <w:p w:rsidR="00EB2DE4" w:rsidRPr="009D0C7B" w:rsidRDefault="00EB2DE4" w:rsidP="00C162FA">
            <w:pPr>
              <w:rPr>
                <w:rFonts w:ascii="Calibri" w:hAnsi="Calibri" w:cs="Calibri"/>
                <w:i/>
                <w:color w:val="000000"/>
                <w:sz w:val="22"/>
                <w:szCs w:val="22"/>
              </w:rPr>
            </w:pPr>
            <w:r w:rsidRPr="009D0C7B">
              <w:rPr>
                <w:rFonts w:ascii="Calibri" w:hAnsi="Calibri" w:cs="Calibri"/>
                <w:i/>
                <w:color w:val="000000"/>
                <w:sz w:val="22"/>
                <w:szCs w:val="22"/>
              </w:rPr>
              <w:t>Необходимо участие эксперта (оценка 1-5) более двух риск факторов</w:t>
            </w:r>
          </w:p>
        </w:tc>
        <w:tc>
          <w:tcPr>
            <w:tcW w:w="6384" w:type="dxa"/>
            <w:shd w:val="clear" w:color="000000" w:fill="F8FFB9"/>
          </w:tcPr>
          <w:p w:rsidR="00EB2DE4" w:rsidRDefault="00EB2DE4" w:rsidP="00C162FA">
            <w:pPr>
              <w:jc w:val="both"/>
              <w:rPr>
                <w:rFonts w:ascii="Calibri" w:hAnsi="Calibri" w:cs="Calibri"/>
                <w:color w:val="000000"/>
                <w:sz w:val="22"/>
                <w:szCs w:val="22"/>
              </w:rPr>
            </w:pPr>
            <w:r w:rsidRPr="00557840">
              <w:rPr>
                <w:rFonts w:ascii="Calibri" w:hAnsi="Calibri" w:cs="Calibri"/>
                <w:color w:val="000000"/>
                <w:sz w:val="22"/>
                <w:szCs w:val="22"/>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rsidR="00EB2DE4" w:rsidRPr="00557840" w:rsidRDefault="00EB2DE4" w:rsidP="00C162FA">
            <w:pPr>
              <w:jc w:val="both"/>
              <w:rPr>
                <w:rFonts w:ascii="Calibri" w:hAnsi="Calibri" w:cs="Calibri"/>
                <w:color w:val="000000"/>
                <w:sz w:val="22"/>
                <w:szCs w:val="22"/>
              </w:rPr>
            </w:pPr>
            <w:r w:rsidRPr="000F37BA">
              <w:rPr>
                <w:rFonts w:ascii="Calibri" w:hAnsi="Calibri" w:cs="Calibri"/>
                <w:b/>
                <w:i/>
                <w:color w:val="000000"/>
                <w:sz w:val="22"/>
                <w:szCs w:val="22"/>
              </w:rPr>
              <w:t xml:space="preserve">Действия </w:t>
            </w:r>
            <w:r>
              <w:rPr>
                <w:rFonts w:ascii="Calibri" w:hAnsi="Calibri" w:cs="Calibri"/>
                <w:b/>
                <w:i/>
                <w:color w:val="000000"/>
                <w:sz w:val="22"/>
                <w:szCs w:val="22"/>
              </w:rPr>
              <w:t>э</w:t>
            </w:r>
            <w:r w:rsidRPr="000F37BA">
              <w:rPr>
                <w:rFonts w:ascii="Calibri" w:hAnsi="Calibri" w:cs="Calibri"/>
                <w:b/>
                <w:i/>
                <w:color w:val="000000"/>
                <w:sz w:val="22"/>
                <w:szCs w:val="22"/>
              </w:rPr>
              <w:t xml:space="preserve">ксперта: </w:t>
            </w:r>
            <w:r>
              <w:rPr>
                <w:rFonts w:ascii="Calibri" w:hAnsi="Calibri" w:cs="Calibri"/>
                <w:i/>
                <w:color w:val="000000"/>
                <w:sz w:val="22"/>
                <w:szCs w:val="22"/>
              </w:rPr>
              <w:t xml:space="preserve">в случае большого количества (более двух) риск-факторов эксперт принимает решение о соответствии/ 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настоящей методике, не должна превышать 1 по </w:t>
            </w:r>
            <w:r>
              <w:rPr>
                <w:rFonts w:ascii="Calibri" w:hAnsi="Calibri" w:cs="Calibri"/>
                <w:i/>
                <w:color w:val="000000"/>
                <w:sz w:val="22"/>
                <w:szCs w:val="22"/>
              </w:rPr>
              <w:lastRenderedPageBreak/>
              <w:t>пятибалльной шкале (минимально допустимый уровень)</w:t>
            </w:r>
          </w:p>
        </w:tc>
      </w:tr>
      <w:tr w:rsidR="00EB2DE4" w:rsidTr="00C162FA">
        <w:trPr>
          <w:trHeight w:val="2440"/>
        </w:trPr>
        <w:tc>
          <w:tcPr>
            <w:tcW w:w="3276" w:type="dxa"/>
            <w:shd w:val="clear" w:color="000000" w:fill="C6FED1"/>
            <w:vAlign w:val="center"/>
          </w:tcPr>
          <w:p w:rsidR="00EB2DE4" w:rsidRDefault="00EB2DE4" w:rsidP="00C162FA">
            <w:pPr>
              <w:rPr>
                <w:rFonts w:ascii="Calibri" w:hAnsi="Calibri" w:cs="Calibri"/>
                <w:i/>
                <w:color w:val="000000"/>
                <w:sz w:val="22"/>
                <w:szCs w:val="22"/>
              </w:rPr>
            </w:pPr>
            <w:r w:rsidRPr="009D0C7B">
              <w:rPr>
                <w:rFonts w:ascii="Calibri" w:hAnsi="Calibri" w:cs="Calibri"/>
                <w:i/>
                <w:color w:val="000000"/>
                <w:sz w:val="22"/>
                <w:szCs w:val="22"/>
              </w:rPr>
              <w:lastRenderedPageBreak/>
              <w:t>Соответствует (оценка 1-5) имеются риск-факторы</w:t>
            </w:r>
          </w:p>
          <w:p w:rsidR="00EB2DE4" w:rsidRPr="009D0C7B" w:rsidRDefault="00EB2DE4" w:rsidP="00C162FA">
            <w:pPr>
              <w:rPr>
                <w:rFonts w:ascii="Calibri" w:hAnsi="Calibri" w:cs="Calibri"/>
                <w:i/>
                <w:color w:val="000000"/>
                <w:sz w:val="22"/>
                <w:szCs w:val="22"/>
              </w:rPr>
            </w:pPr>
          </w:p>
          <w:p w:rsidR="00EB2DE4" w:rsidRPr="009D0C7B" w:rsidRDefault="00EB2DE4" w:rsidP="00C162FA">
            <w:pPr>
              <w:rPr>
                <w:rFonts w:ascii="Calibri" w:hAnsi="Calibri" w:cs="Calibri"/>
                <w:i/>
                <w:color w:val="000000"/>
                <w:sz w:val="22"/>
                <w:szCs w:val="22"/>
              </w:rPr>
            </w:pPr>
            <w:r w:rsidRPr="009D0C7B">
              <w:rPr>
                <w:rFonts w:ascii="Calibri" w:hAnsi="Calibri" w:cs="Calibri"/>
                <w:i/>
                <w:color w:val="000000"/>
                <w:sz w:val="22"/>
                <w:szCs w:val="22"/>
              </w:rPr>
              <w:t>Соответствует (оценка 1-5)</w:t>
            </w:r>
          </w:p>
        </w:tc>
        <w:tc>
          <w:tcPr>
            <w:tcW w:w="6384" w:type="dxa"/>
            <w:shd w:val="clear" w:color="000000" w:fill="C6FED1"/>
          </w:tcPr>
          <w:p w:rsidR="00EB2DE4" w:rsidRDefault="00EB2DE4" w:rsidP="00C162FA">
            <w:pPr>
              <w:jc w:val="both"/>
              <w:rPr>
                <w:rFonts w:ascii="Calibri" w:hAnsi="Calibri" w:cs="Calibri"/>
                <w:color w:val="000000"/>
                <w:sz w:val="22"/>
                <w:szCs w:val="22"/>
              </w:rPr>
            </w:pPr>
            <w:r>
              <w:rPr>
                <w:rFonts w:ascii="Calibri" w:hAnsi="Calibri" w:cs="Calibri"/>
                <w:color w:val="000000"/>
                <w:sz w:val="22"/>
                <w:szCs w:val="22"/>
              </w:rPr>
              <w:t>К</w:t>
            </w:r>
            <w:r w:rsidRPr="00557840">
              <w:rPr>
                <w:rFonts w:ascii="Calibri" w:hAnsi="Calibri" w:cs="Calibri"/>
                <w:color w:val="000000"/>
                <w:sz w:val="22"/>
                <w:szCs w:val="22"/>
              </w:rPr>
              <w:t>омпания-</w:t>
            </w:r>
            <w:r>
              <w:rPr>
                <w:rFonts w:ascii="Calibri" w:hAnsi="Calibri" w:cs="Calibri"/>
                <w:color w:val="000000"/>
                <w:sz w:val="22"/>
                <w:szCs w:val="22"/>
              </w:rPr>
              <w:t xml:space="preserve">участница закупочной процедуры </w:t>
            </w:r>
            <w:r w:rsidRPr="00557840">
              <w:rPr>
                <w:rFonts w:ascii="Calibri" w:hAnsi="Calibri" w:cs="Calibri"/>
                <w:color w:val="000000"/>
                <w:sz w:val="22"/>
                <w:szCs w:val="22"/>
              </w:rPr>
              <w:t>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rsidR="00EB2DE4" w:rsidRPr="00BB5980" w:rsidRDefault="00EB2DE4" w:rsidP="00C162FA">
            <w:pPr>
              <w:jc w:val="both"/>
              <w:rPr>
                <w:rFonts w:ascii="Calibri" w:hAnsi="Calibri" w:cs="Calibri"/>
                <w:color w:val="000000"/>
                <w:sz w:val="22"/>
                <w:szCs w:val="22"/>
              </w:rPr>
            </w:pPr>
            <w:r w:rsidRPr="000F37BA">
              <w:rPr>
                <w:rFonts w:ascii="Calibri" w:hAnsi="Calibri" w:cs="Calibri"/>
                <w:b/>
                <w:i/>
                <w:color w:val="000000"/>
                <w:sz w:val="22"/>
                <w:szCs w:val="22"/>
              </w:rPr>
              <w:t xml:space="preserve">Действия </w:t>
            </w:r>
            <w:r>
              <w:rPr>
                <w:rFonts w:ascii="Calibri" w:hAnsi="Calibri" w:cs="Calibri"/>
                <w:b/>
                <w:i/>
                <w:color w:val="000000"/>
                <w:sz w:val="22"/>
                <w:szCs w:val="22"/>
              </w:rPr>
              <w:t>э</w:t>
            </w:r>
            <w:r w:rsidRPr="000F37BA">
              <w:rPr>
                <w:rFonts w:ascii="Calibri" w:hAnsi="Calibri" w:cs="Calibri"/>
                <w:b/>
                <w:i/>
                <w:color w:val="000000"/>
                <w:sz w:val="22"/>
                <w:szCs w:val="22"/>
              </w:rPr>
              <w:t xml:space="preserve">ксперта: </w:t>
            </w:r>
            <w:r>
              <w:rPr>
                <w:rFonts w:ascii="Calibri" w:hAnsi="Calibri" w:cs="Calibri"/>
                <w:i/>
                <w:color w:val="000000"/>
                <w:sz w:val="22"/>
                <w:szCs w:val="22"/>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rsidR="00EB2DE4" w:rsidRDefault="00EB2DE4" w:rsidP="00EB2DE4">
      <w:pPr>
        <w:jc w:val="both"/>
      </w:pPr>
    </w:p>
    <w:p w:rsidR="00EB2DE4" w:rsidRDefault="00EB2DE4" w:rsidP="00EB2DE4">
      <w:pPr>
        <w:pStyle w:val="ac"/>
      </w:pPr>
    </w:p>
    <w:p w:rsidR="00EB2DE4" w:rsidRPr="00E96AC3" w:rsidRDefault="00EB2DE4" w:rsidP="00EB2DE4">
      <w:pPr>
        <w:numPr>
          <w:ilvl w:val="1"/>
          <w:numId w:val="5"/>
        </w:numPr>
        <w:tabs>
          <w:tab w:val="clear" w:pos="792"/>
          <w:tab w:val="num" w:pos="574"/>
        </w:tabs>
        <w:spacing w:before="120" w:after="120"/>
        <w:ind w:left="0" w:hanging="6"/>
        <w:jc w:val="both"/>
        <w:rPr>
          <w:rFonts w:ascii="Arial" w:hAnsi="Arial" w:cs="Arial"/>
        </w:rPr>
      </w:pPr>
      <w:r w:rsidRPr="00E96AC3">
        <w:rPr>
          <w:rFonts w:ascii="Arial" w:hAnsi="Arial" w:cs="Arial"/>
        </w:rPr>
        <w:t>Проведение финансово-экономической экспертизы участников закупочных процедур, применяющих упрощенную систему налогообложения (УСН) и индивидуальных предпринимателей</w:t>
      </w:r>
    </w:p>
    <w:p w:rsidR="00EB2DE4" w:rsidRPr="00E96AC3" w:rsidRDefault="00EB2DE4" w:rsidP="00EB2DE4">
      <w:pPr>
        <w:numPr>
          <w:ilvl w:val="2"/>
          <w:numId w:val="5"/>
        </w:numPr>
        <w:tabs>
          <w:tab w:val="clear" w:pos="1584"/>
        </w:tabs>
        <w:spacing w:after="60"/>
        <w:ind w:left="0" w:firstLine="0"/>
        <w:jc w:val="both"/>
        <w:rPr>
          <w:rFonts w:ascii="Arial" w:hAnsi="Arial" w:cs="Arial"/>
          <w:bCs/>
        </w:rPr>
      </w:pPr>
      <w:r>
        <w:rPr>
          <w:rFonts w:ascii="Arial" w:hAnsi="Arial" w:cs="Arial"/>
          <w:bCs/>
        </w:rPr>
        <w:t xml:space="preserve">В случае если в соответствии с требованиями государственных нормативных документов, участники конкурентных закупочных процедур, применяющие упрощенную систему налогообложения, обязаны формировать </w:t>
      </w:r>
      <w:r w:rsidRPr="00E96AC3">
        <w:rPr>
          <w:rFonts w:ascii="Arial" w:hAnsi="Arial" w:cs="Arial"/>
          <w:bCs/>
        </w:rPr>
        <w:t>бухгалтерскую отчетность (в формате ф.1 и ф.2,,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настоящей методикой.</w:t>
      </w:r>
    </w:p>
    <w:p w:rsidR="00EB2DE4" w:rsidRPr="00E96AC3" w:rsidRDefault="00EB2DE4" w:rsidP="00EB2DE4">
      <w:pPr>
        <w:numPr>
          <w:ilvl w:val="2"/>
          <w:numId w:val="5"/>
        </w:numPr>
        <w:tabs>
          <w:tab w:val="clear" w:pos="1584"/>
        </w:tabs>
        <w:spacing w:after="60"/>
        <w:ind w:left="0" w:firstLine="0"/>
        <w:jc w:val="both"/>
        <w:rPr>
          <w:rFonts w:ascii="Arial" w:hAnsi="Arial" w:cs="Arial"/>
          <w:bCs/>
        </w:rPr>
      </w:pPr>
      <w:r w:rsidRPr="00E96AC3">
        <w:rPr>
          <w:rFonts w:ascii="Arial" w:hAnsi="Arial" w:cs="Arial"/>
          <w:bCs/>
        </w:rPr>
        <w:t>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компаний в рамках проведения финансово-экономической экспертизы осуществляется экспертно с учетом п.п. 11.4.3. - 11.4.5.</w:t>
      </w:r>
    </w:p>
    <w:p w:rsidR="00EB2DE4" w:rsidRPr="000653D9" w:rsidRDefault="00EB2DE4" w:rsidP="00EB2DE4">
      <w:pPr>
        <w:numPr>
          <w:ilvl w:val="2"/>
          <w:numId w:val="5"/>
        </w:numPr>
        <w:tabs>
          <w:tab w:val="clear" w:pos="1584"/>
        </w:tabs>
        <w:spacing w:after="60"/>
        <w:ind w:left="0" w:firstLine="0"/>
        <w:jc w:val="both"/>
        <w:rPr>
          <w:rFonts w:ascii="Arial" w:hAnsi="Arial" w:cs="Arial"/>
          <w:bCs/>
        </w:rPr>
      </w:pPr>
      <w:r w:rsidRPr="000653D9">
        <w:rPr>
          <w:rFonts w:ascii="Arial" w:hAnsi="Arial" w:cs="Arial"/>
          <w:bCs/>
        </w:rPr>
        <w:t>Решение о прохождении компанией, применяющей УСН</w:t>
      </w:r>
      <w:r>
        <w:rPr>
          <w:rFonts w:ascii="Arial" w:hAnsi="Arial" w:cs="Arial"/>
          <w:bCs/>
        </w:rPr>
        <w:t xml:space="preserve"> (в условиях отсутствия бухгалтерской отчетности)</w:t>
      </w:r>
      <w:r w:rsidRPr="000653D9">
        <w:rPr>
          <w:rFonts w:ascii="Arial" w:hAnsi="Arial" w:cs="Arial"/>
          <w:bCs/>
        </w:rPr>
        <w:t xml:space="preserve"> или индивидуального предпринимателя, отборочной стадии может быть принято только при одновременном выполнении следующих критериев:</w:t>
      </w:r>
    </w:p>
    <w:p w:rsidR="00EB2DE4" w:rsidRPr="000653D9" w:rsidRDefault="00EB2DE4" w:rsidP="00EB2DE4">
      <w:pPr>
        <w:numPr>
          <w:ilvl w:val="0"/>
          <w:numId w:val="14"/>
        </w:numPr>
        <w:ind w:left="720" w:firstLine="0"/>
        <w:jc w:val="both"/>
        <w:rPr>
          <w:rFonts w:ascii="Arial" w:hAnsi="Arial" w:cs="Arial"/>
          <w:bCs/>
        </w:rPr>
      </w:pPr>
      <w:r w:rsidRPr="000653D9">
        <w:rPr>
          <w:rFonts w:ascii="Arial" w:hAnsi="Arial" w:cs="Arial"/>
          <w:bCs/>
        </w:rPr>
        <w:t>срок существования не менее 3 лет;</w:t>
      </w:r>
    </w:p>
    <w:p w:rsidR="00EB2DE4" w:rsidRPr="000653D9" w:rsidRDefault="00EB2DE4" w:rsidP="00EB2DE4">
      <w:pPr>
        <w:numPr>
          <w:ilvl w:val="0"/>
          <w:numId w:val="14"/>
        </w:numPr>
        <w:ind w:left="720" w:firstLine="0"/>
        <w:jc w:val="both"/>
        <w:rPr>
          <w:rFonts w:ascii="Arial" w:hAnsi="Arial" w:cs="Arial"/>
          <w:bCs/>
        </w:rPr>
      </w:pPr>
      <w:r w:rsidRPr="000653D9">
        <w:rPr>
          <w:rFonts w:ascii="Arial" w:hAnsi="Arial" w:cs="Arial"/>
          <w:bCs/>
        </w:rPr>
        <w:t>вид деятельности участника закупочной процедуры по классификации ОКВЭД совпадает с предметом закупки;</w:t>
      </w:r>
    </w:p>
    <w:p w:rsidR="00EB2DE4" w:rsidRPr="000653D9" w:rsidRDefault="00EB2DE4" w:rsidP="00EB2DE4">
      <w:pPr>
        <w:numPr>
          <w:ilvl w:val="0"/>
          <w:numId w:val="14"/>
        </w:numPr>
        <w:ind w:left="720" w:firstLine="0"/>
        <w:jc w:val="both"/>
        <w:rPr>
          <w:rFonts w:ascii="Arial" w:hAnsi="Arial" w:cs="Arial"/>
          <w:bCs/>
        </w:rPr>
      </w:pPr>
      <w:r w:rsidRPr="000653D9">
        <w:rPr>
          <w:rFonts w:ascii="Arial" w:hAnsi="Arial" w:cs="Arial"/>
          <w:bCs/>
        </w:rPr>
        <w:t>компания имеет необходимые материально-технические и кадровые ресурсы (согласно предоставленным справкам);</w:t>
      </w:r>
    </w:p>
    <w:p w:rsidR="00EB2DE4" w:rsidRDefault="00EB2DE4" w:rsidP="00EB2DE4">
      <w:pPr>
        <w:numPr>
          <w:ilvl w:val="0"/>
          <w:numId w:val="14"/>
        </w:numPr>
        <w:ind w:left="720" w:firstLine="0"/>
        <w:jc w:val="both"/>
        <w:rPr>
          <w:rFonts w:ascii="Arial" w:hAnsi="Arial" w:cs="Arial"/>
          <w:bCs/>
        </w:rPr>
      </w:pPr>
      <w:r w:rsidRPr="000653D9">
        <w:rPr>
          <w:rFonts w:ascii="Arial" w:hAnsi="Arial" w:cs="Arial"/>
          <w:bCs/>
        </w:rPr>
        <w:lastRenderedPageBreak/>
        <w:t>с</w:t>
      </w:r>
      <w:r>
        <w:rPr>
          <w:rFonts w:ascii="Arial" w:hAnsi="Arial" w:cs="Arial"/>
          <w:bCs/>
        </w:rPr>
        <w:t>тоимость</w:t>
      </w:r>
      <w:r w:rsidRPr="000653D9">
        <w:rPr>
          <w:rFonts w:ascii="Arial" w:hAnsi="Arial" w:cs="Arial"/>
          <w:bCs/>
        </w:rPr>
        <w:t xml:space="preserve"> планируемой закупки без НДС не превышает</w:t>
      </w:r>
      <w:r>
        <w:rPr>
          <w:rFonts w:ascii="Arial" w:hAnsi="Arial" w:cs="Arial"/>
          <w:bCs/>
        </w:rPr>
        <w:t xml:space="preserve"> 120</w:t>
      </w:r>
      <w:r w:rsidRPr="000653D9">
        <w:rPr>
          <w:rFonts w:ascii="Arial" w:hAnsi="Arial" w:cs="Arial"/>
          <w:bCs/>
        </w:rPr>
        <w:t>% годового дохода (согласно налоговой декларации);</w:t>
      </w:r>
    </w:p>
    <w:p w:rsidR="00EB2DE4" w:rsidRDefault="00EB2DE4" w:rsidP="00EB2DE4">
      <w:pPr>
        <w:numPr>
          <w:ilvl w:val="0"/>
          <w:numId w:val="14"/>
        </w:numPr>
        <w:ind w:left="720" w:firstLine="0"/>
        <w:jc w:val="both"/>
        <w:rPr>
          <w:rFonts w:ascii="Arial" w:hAnsi="Arial" w:cs="Arial"/>
          <w:bCs/>
        </w:rPr>
      </w:pPr>
      <w:r w:rsidRPr="000653D9">
        <w:rPr>
          <w:rFonts w:ascii="Arial" w:hAnsi="Arial" w:cs="Arial"/>
          <w:bCs/>
        </w:rPr>
        <w:t>финансовые условия сделки не предусматривают выплату аванса, не покрытого банковской гарантией</w:t>
      </w:r>
      <w:r>
        <w:rPr>
          <w:rFonts w:ascii="Arial" w:hAnsi="Arial" w:cs="Arial"/>
          <w:bCs/>
        </w:rPr>
        <w:t>.</w:t>
      </w:r>
    </w:p>
    <w:p w:rsidR="00EB2DE4" w:rsidRDefault="00EB2DE4" w:rsidP="00EB2DE4">
      <w:pPr>
        <w:numPr>
          <w:ilvl w:val="2"/>
          <w:numId w:val="5"/>
        </w:numPr>
        <w:tabs>
          <w:tab w:val="clear" w:pos="1584"/>
        </w:tabs>
        <w:spacing w:after="60"/>
        <w:ind w:left="0" w:firstLine="0"/>
        <w:jc w:val="both"/>
        <w:rPr>
          <w:rFonts w:ascii="Arial" w:hAnsi="Arial" w:cs="Arial"/>
        </w:rPr>
      </w:pPr>
      <w:r>
        <w:rPr>
          <w:rFonts w:ascii="Arial" w:hAnsi="Arial" w:cs="Arial"/>
          <w:bCs/>
        </w:rPr>
        <w:t>За исключением случаев, описанных ниже в п. 4.5. н</w:t>
      </w:r>
      <w:r w:rsidRPr="000653D9">
        <w:rPr>
          <w:rFonts w:ascii="Arial" w:hAnsi="Arial" w:cs="Arial"/>
          <w:bCs/>
        </w:rPr>
        <w:t>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w:t>
      </w:r>
      <w:r>
        <w:rPr>
          <w:rFonts w:ascii="Arial" w:hAnsi="Arial" w:cs="Arial"/>
          <w:bCs/>
        </w:rPr>
        <w:t xml:space="preserve"> (в условиях отсутствия бухгалтерской отчетности) или индивидуального предпринимателя</w:t>
      </w:r>
      <w:r w:rsidRPr="000653D9">
        <w:rPr>
          <w:rFonts w:ascii="Arial" w:hAnsi="Arial" w:cs="Arial"/>
          <w:bCs/>
        </w:rPr>
        <w:t>, на отборочной стадии.</w:t>
      </w:r>
    </w:p>
    <w:p w:rsidR="00EB2DE4" w:rsidRPr="00AD35B5" w:rsidRDefault="00EB2DE4" w:rsidP="00EB2DE4">
      <w:pPr>
        <w:numPr>
          <w:ilvl w:val="2"/>
          <w:numId w:val="5"/>
        </w:numPr>
        <w:tabs>
          <w:tab w:val="clear" w:pos="1584"/>
        </w:tabs>
        <w:spacing w:after="60"/>
        <w:ind w:left="0" w:firstLine="0"/>
        <w:jc w:val="both"/>
        <w:rPr>
          <w:rFonts w:ascii="Arial" w:hAnsi="Arial" w:cs="Arial"/>
        </w:rPr>
      </w:pPr>
      <w:r>
        <w:rPr>
          <w:rFonts w:ascii="Arial" w:hAnsi="Arial" w:cs="Arial"/>
        </w:rPr>
        <w:t>С целью расширения доступа компаний</w:t>
      </w:r>
      <w:r w:rsidRPr="001B399B">
        <w:rPr>
          <w:rFonts w:ascii="Arial" w:hAnsi="Arial" w:cs="Arial"/>
        </w:rPr>
        <w:t>, применяющих упрощенную систему налогообложения (УСН) и индивидуальных предпринимателей</w:t>
      </w:r>
      <w:r>
        <w:rPr>
          <w:rFonts w:ascii="Arial" w:hAnsi="Arial" w:cs="Arial"/>
        </w:rPr>
        <w:t xml:space="preserve"> к участию в конкурентных закупочных процедурах, организованных Обществом, в случаях, </w:t>
      </w:r>
      <w:r w:rsidRPr="00AD35B5">
        <w:rPr>
          <w:rFonts w:ascii="Arial" w:hAnsi="Arial" w:cs="Arial"/>
        </w:rPr>
        <w:t xml:space="preserve">когда </w:t>
      </w:r>
      <w:r>
        <w:rPr>
          <w:rFonts w:ascii="Arial" w:hAnsi="Arial" w:cs="Arial"/>
        </w:rPr>
        <w:t>не выполнен только критерий соответствия масштабов деятельности участника стоимости планируемой закупки, и при этом все остальные критерии выполнены, включая отсутствие аванса, разрешается для ограниченного перечня конкурентных закупочных процедур экспертно допускать участников до оценочной стадии. Итоговая оценка при этом не должна превышать 1 по пятибалльной шкале (минимально допустимый уровень)</w:t>
      </w:r>
      <w:r w:rsidRPr="00AD35B5">
        <w:rPr>
          <w:rFonts w:ascii="Arial" w:hAnsi="Arial" w:cs="Arial"/>
        </w:rPr>
        <w:t xml:space="preserve">. </w:t>
      </w:r>
      <w:r>
        <w:rPr>
          <w:rFonts w:ascii="Arial" w:hAnsi="Arial" w:cs="Arial"/>
        </w:rPr>
        <w:t>Перечень конкурентных закупочных процедур для которых применимы положения настоящего пункта ограничивается закупочными процедурами</w:t>
      </w:r>
      <w:r w:rsidRPr="00AD35B5">
        <w:rPr>
          <w:rFonts w:ascii="Arial" w:hAnsi="Arial" w:cs="Arial"/>
        </w:rPr>
        <w:t xml:space="preserve"> по перечисленным ниже </w:t>
      </w:r>
      <w:r>
        <w:rPr>
          <w:rFonts w:ascii="Arial" w:hAnsi="Arial" w:cs="Arial"/>
        </w:rPr>
        <w:t>статьям расходов бизнес-дивизиона</w:t>
      </w:r>
      <w:r w:rsidRPr="00AD35B5">
        <w:rPr>
          <w:rFonts w:ascii="Arial" w:hAnsi="Arial" w:cs="Arial"/>
        </w:rPr>
        <w:t xml:space="preserve"> </w:t>
      </w:r>
      <w:r>
        <w:rPr>
          <w:rFonts w:ascii="Arial" w:hAnsi="Arial" w:cs="Arial"/>
        </w:rPr>
        <w:t>«Электрогенерация» пр</w:t>
      </w:r>
      <w:r w:rsidRPr="00AD35B5">
        <w:rPr>
          <w:rFonts w:ascii="Arial" w:hAnsi="Arial" w:cs="Arial"/>
        </w:rPr>
        <w:t>и планов</w:t>
      </w:r>
      <w:r>
        <w:rPr>
          <w:rFonts w:ascii="Arial" w:hAnsi="Arial" w:cs="Arial"/>
        </w:rPr>
        <w:t>ой</w:t>
      </w:r>
      <w:r w:rsidRPr="00AD35B5">
        <w:rPr>
          <w:rFonts w:ascii="Arial" w:hAnsi="Arial" w:cs="Arial"/>
        </w:rPr>
        <w:t xml:space="preserve"> </w:t>
      </w:r>
      <w:r>
        <w:rPr>
          <w:rFonts w:ascii="Arial" w:hAnsi="Arial" w:cs="Arial"/>
        </w:rPr>
        <w:t>стоимости</w:t>
      </w:r>
      <w:r w:rsidRPr="00AD35B5">
        <w:rPr>
          <w:rFonts w:ascii="Arial" w:hAnsi="Arial" w:cs="Arial"/>
        </w:rPr>
        <w:t xml:space="preserve"> закупки не </w:t>
      </w:r>
      <w:r>
        <w:rPr>
          <w:rFonts w:ascii="Arial" w:hAnsi="Arial" w:cs="Arial"/>
        </w:rPr>
        <w:t>более</w:t>
      </w:r>
      <w:r w:rsidRPr="00AD35B5">
        <w:rPr>
          <w:rFonts w:ascii="Arial" w:hAnsi="Arial" w:cs="Arial"/>
        </w:rPr>
        <w:t xml:space="preserve"> </w:t>
      </w:r>
      <w:r>
        <w:rPr>
          <w:rFonts w:ascii="Arial" w:hAnsi="Arial" w:cs="Arial"/>
        </w:rPr>
        <w:t>2</w:t>
      </w:r>
      <w:r w:rsidRPr="00AD35B5">
        <w:rPr>
          <w:rFonts w:ascii="Arial" w:hAnsi="Arial" w:cs="Arial"/>
        </w:rPr>
        <w:t>0 млн. рублей без НДС:</w:t>
      </w:r>
    </w:p>
    <w:p w:rsidR="00EB2DE4" w:rsidRDefault="00EB2DE4" w:rsidP="00EB2DE4">
      <w:pPr>
        <w:numPr>
          <w:ilvl w:val="3"/>
          <w:numId w:val="19"/>
        </w:numPr>
        <w:ind w:left="720" w:firstLine="0"/>
        <w:jc w:val="both"/>
        <w:rPr>
          <w:rFonts w:ascii="Arial" w:hAnsi="Arial" w:cs="Arial"/>
        </w:rPr>
      </w:pPr>
      <w:r>
        <w:rPr>
          <w:rFonts w:ascii="Arial" w:hAnsi="Arial" w:cs="Arial"/>
        </w:rPr>
        <w:t>административно-хозяйственные расходы (поставки и услуги);</w:t>
      </w:r>
    </w:p>
    <w:p w:rsidR="00EB2DE4" w:rsidRDefault="00EB2DE4" w:rsidP="00EB2DE4">
      <w:pPr>
        <w:numPr>
          <w:ilvl w:val="3"/>
          <w:numId w:val="19"/>
        </w:numPr>
        <w:ind w:left="720" w:firstLine="0"/>
        <w:jc w:val="both"/>
        <w:rPr>
          <w:rFonts w:ascii="Arial" w:hAnsi="Arial" w:cs="Arial"/>
        </w:rPr>
      </w:pPr>
      <w:r>
        <w:rPr>
          <w:rFonts w:ascii="Arial" w:hAnsi="Arial" w:cs="Arial"/>
        </w:rPr>
        <w:t>охрана (услуги);</w:t>
      </w:r>
    </w:p>
    <w:p w:rsidR="00EB2DE4" w:rsidRDefault="00EB2DE4" w:rsidP="00EB2DE4">
      <w:pPr>
        <w:numPr>
          <w:ilvl w:val="3"/>
          <w:numId w:val="19"/>
        </w:numPr>
        <w:ind w:left="720" w:firstLine="0"/>
        <w:jc w:val="both"/>
        <w:rPr>
          <w:rFonts w:ascii="Arial" w:hAnsi="Arial" w:cs="Arial"/>
        </w:rPr>
      </w:pPr>
      <w:r>
        <w:rPr>
          <w:rFonts w:ascii="Arial" w:hAnsi="Arial" w:cs="Arial"/>
        </w:rPr>
        <w:t>консультационные и информационные расходы (поставки и услуги);</w:t>
      </w:r>
    </w:p>
    <w:p w:rsidR="00EB2DE4" w:rsidRDefault="00EB2DE4" w:rsidP="00EB2DE4">
      <w:pPr>
        <w:numPr>
          <w:ilvl w:val="3"/>
          <w:numId w:val="19"/>
        </w:numPr>
        <w:ind w:left="720" w:firstLine="0"/>
        <w:jc w:val="both"/>
        <w:rPr>
          <w:rFonts w:ascii="Arial" w:hAnsi="Arial" w:cs="Arial"/>
        </w:rPr>
      </w:pPr>
      <w:r>
        <w:rPr>
          <w:rFonts w:ascii="Arial" w:hAnsi="Arial" w:cs="Arial"/>
        </w:rPr>
        <w:t>аудит и оценка (поставки и услуги);</w:t>
      </w:r>
    </w:p>
    <w:p w:rsidR="00EB2DE4" w:rsidRDefault="00EB2DE4" w:rsidP="00EB2DE4">
      <w:pPr>
        <w:numPr>
          <w:ilvl w:val="3"/>
          <w:numId w:val="19"/>
        </w:numPr>
        <w:ind w:left="720" w:firstLine="0"/>
        <w:jc w:val="both"/>
        <w:rPr>
          <w:rFonts w:ascii="Arial" w:hAnsi="Arial" w:cs="Arial"/>
        </w:rPr>
      </w:pPr>
      <w:r>
        <w:rPr>
          <w:rFonts w:ascii="Arial" w:hAnsi="Arial" w:cs="Arial"/>
        </w:rPr>
        <w:t>юридические услуги (поставки и услуги);</w:t>
      </w:r>
    </w:p>
    <w:p w:rsidR="00EB2DE4" w:rsidRDefault="00EB2DE4" w:rsidP="00EB2DE4">
      <w:pPr>
        <w:numPr>
          <w:ilvl w:val="3"/>
          <w:numId w:val="19"/>
        </w:numPr>
        <w:ind w:left="720" w:firstLine="0"/>
        <w:jc w:val="both"/>
        <w:rPr>
          <w:rFonts w:ascii="Arial" w:hAnsi="Arial" w:cs="Arial"/>
        </w:rPr>
      </w:pPr>
      <w:r>
        <w:rPr>
          <w:rFonts w:ascii="Arial" w:hAnsi="Arial" w:cs="Arial"/>
        </w:rPr>
        <w:t>корпоративное управление (поставки и услуги);</w:t>
      </w:r>
    </w:p>
    <w:p w:rsidR="00EB2DE4" w:rsidRDefault="00EB2DE4" w:rsidP="00EB2DE4">
      <w:pPr>
        <w:numPr>
          <w:ilvl w:val="3"/>
          <w:numId w:val="19"/>
        </w:numPr>
        <w:ind w:left="720" w:firstLine="0"/>
        <w:jc w:val="both"/>
        <w:rPr>
          <w:rFonts w:ascii="Arial" w:hAnsi="Arial" w:cs="Arial"/>
        </w:rPr>
      </w:pPr>
      <w:r>
        <w:rPr>
          <w:rFonts w:ascii="Arial" w:hAnsi="Arial" w:cs="Arial"/>
        </w:rPr>
        <w:t>расходы на персонал (поставки и услуги);</w:t>
      </w:r>
    </w:p>
    <w:p w:rsidR="00EB2DE4" w:rsidRDefault="00EB2DE4" w:rsidP="00EB2DE4">
      <w:pPr>
        <w:numPr>
          <w:ilvl w:val="3"/>
          <w:numId w:val="19"/>
        </w:numPr>
        <w:ind w:left="720" w:firstLine="0"/>
        <w:jc w:val="both"/>
        <w:rPr>
          <w:rFonts w:ascii="Arial" w:hAnsi="Arial" w:cs="Arial"/>
        </w:rPr>
      </w:pPr>
      <w:r>
        <w:rPr>
          <w:rFonts w:ascii="Arial" w:hAnsi="Arial" w:cs="Arial"/>
        </w:rPr>
        <w:t>реклама и маркетинг (поставки и услуги).</w:t>
      </w:r>
    </w:p>
    <w:p w:rsidR="00EB2DE4" w:rsidRPr="006020AF" w:rsidRDefault="00EB2DE4" w:rsidP="00EB2DE4">
      <w:pPr>
        <w:numPr>
          <w:ilvl w:val="2"/>
          <w:numId w:val="5"/>
        </w:numPr>
        <w:tabs>
          <w:tab w:val="clear" w:pos="1584"/>
        </w:tabs>
        <w:spacing w:after="60"/>
        <w:ind w:left="0" w:firstLine="0"/>
        <w:jc w:val="both"/>
        <w:rPr>
          <w:rStyle w:val="10"/>
          <w:b w:val="0"/>
          <w:sz w:val="24"/>
          <w:szCs w:val="24"/>
        </w:rPr>
      </w:pPr>
      <w:r>
        <w:rPr>
          <w:rFonts w:ascii="Arial" w:hAnsi="Arial" w:cs="Arial"/>
          <w:bCs/>
        </w:rPr>
        <w:t>При отсутствии данных бухгалтерской отчетности в</w:t>
      </w:r>
      <w:r w:rsidRPr="000653D9">
        <w:rPr>
          <w:rFonts w:ascii="Arial" w:hAnsi="Arial" w:cs="Arial"/>
          <w:bCs/>
        </w:rPr>
        <w:t xml:space="preserve"> рамках проведения финансово-экономической экспертизы на оценочной стадии, компании, применяющей УСН, или индивидуальному предпринимателю не может быть присвоена оценка выше 1 (минимально допустимый уровень).</w:t>
      </w:r>
    </w:p>
    <w:p w:rsidR="00EB2DE4" w:rsidRPr="004E395F" w:rsidRDefault="00EB2DE4" w:rsidP="00EB2DE4">
      <w:pPr>
        <w:pStyle w:val="1"/>
        <w:numPr>
          <w:ilvl w:val="0"/>
          <w:numId w:val="5"/>
        </w:numPr>
        <w:tabs>
          <w:tab w:val="left" w:pos="540"/>
        </w:tabs>
        <w:spacing w:after="240"/>
        <w:ind w:left="357" w:hanging="357"/>
        <w:rPr>
          <w:sz w:val="24"/>
          <w:szCs w:val="24"/>
        </w:rPr>
      </w:pPr>
      <w:bookmarkStart w:id="89" w:name="_Toc314226189"/>
      <w:bookmarkStart w:id="90" w:name="_Toc322961185"/>
      <w:bookmarkStart w:id="91" w:name="_Toc326066020"/>
      <w:bookmarkStart w:id="92" w:name="_Toc326066290"/>
      <w:bookmarkStart w:id="93" w:name="_Toc326067321"/>
      <w:bookmarkStart w:id="94" w:name="_Toc370295580"/>
      <w:r w:rsidRPr="004E395F">
        <w:rPr>
          <w:sz w:val="24"/>
          <w:szCs w:val="24"/>
        </w:rPr>
        <w:t>Лист регистрации изменений</w:t>
      </w:r>
      <w:bookmarkEnd w:id="89"/>
      <w:bookmarkEnd w:id="90"/>
      <w:bookmarkEnd w:id="91"/>
      <w:bookmarkEnd w:id="92"/>
      <w:bookmarkEnd w:id="93"/>
      <w:bookmarkEnd w:id="94"/>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035"/>
        <w:gridCol w:w="2556"/>
        <w:gridCol w:w="5095"/>
      </w:tblGrid>
      <w:tr w:rsidR="00EB2DE4" w:rsidRPr="00B81A32" w:rsidTr="00C162FA">
        <w:tc>
          <w:tcPr>
            <w:tcW w:w="1053"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Версия</w:t>
            </w:r>
          </w:p>
        </w:tc>
        <w:tc>
          <w:tcPr>
            <w:tcW w:w="1035"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Дата</w:t>
            </w:r>
          </w:p>
        </w:tc>
        <w:tc>
          <w:tcPr>
            <w:tcW w:w="2556"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Автор</w:t>
            </w:r>
          </w:p>
        </w:tc>
        <w:tc>
          <w:tcPr>
            <w:tcW w:w="5095"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Комментарий к изменениям</w:t>
            </w:r>
          </w:p>
        </w:tc>
      </w:tr>
      <w:tr w:rsidR="00EB2DE4" w:rsidRPr="00DA62C2" w:rsidTr="00C162FA">
        <w:tc>
          <w:tcPr>
            <w:tcW w:w="1053" w:type="dxa"/>
            <w:shd w:val="clear" w:color="auto" w:fill="auto"/>
          </w:tcPr>
          <w:p w:rsidR="00EB2DE4" w:rsidRPr="00DA62C2" w:rsidRDefault="00EB2DE4" w:rsidP="00C162FA">
            <w:pPr>
              <w:spacing w:before="60" w:after="60"/>
              <w:rPr>
                <w:rFonts w:ascii="Arial" w:hAnsi="Arial" w:cs="Arial"/>
              </w:rPr>
            </w:pPr>
            <w:r>
              <w:rPr>
                <w:rFonts w:ascii="Arial" w:hAnsi="Arial" w:cs="Arial"/>
              </w:rPr>
              <w:t>1</w:t>
            </w:r>
          </w:p>
        </w:tc>
        <w:tc>
          <w:tcPr>
            <w:tcW w:w="1035" w:type="dxa"/>
            <w:shd w:val="clear" w:color="auto" w:fill="auto"/>
          </w:tcPr>
          <w:p w:rsidR="00EB2DE4" w:rsidRPr="00925685" w:rsidRDefault="00EB2DE4" w:rsidP="00C162FA">
            <w:pPr>
              <w:spacing w:before="60" w:after="60"/>
              <w:rPr>
                <w:rFonts w:ascii="Arial" w:hAnsi="Arial" w:cs="Arial"/>
              </w:rPr>
            </w:pPr>
          </w:p>
        </w:tc>
        <w:tc>
          <w:tcPr>
            <w:tcW w:w="2556" w:type="dxa"/>
            <w:shd w:val="clear" w:color="auto" w:fill="auto"/>
          </w:tcPr>
          <w:p w:rsidR="00EB2DE4" w:rsidRPr="00DA62C2" w:rsidRDefault="00EB2DE4" w:rsidP="00C162FA">
            <w:pPr>
              <w:spacing w:before="60" w:after="60"/>
              <w:rPr>
                <w:rFonts w:ascii="Arial" w:hAnsi="Arial" w:cs="Arial"/>
              </w:rPr>
            </w:pPr>
            <w:r>
              <w:rPr>
                <w:rFonts w:ascii="Arial" w:hAnsi="Arial" w:cs="Arial"/>
              </w:rPr>
              <w:t>Олейникова О.Ю.</w:t>
            </w:r>
          </w:p>
        </w:tc>
        <w:tc>
          <w:tcPr>
            <w:tcW w:w="5095" w:type="dxa"/>
            <w:shd w:val="clear" w:color="auto" w:fill="auto"/>
          </w:tcPr>
          <w:p w:rsidR="00EB2DE4" w:rsidRPr="00DA62C2" w:rsidRDefault="00EB2DE4" w:rsidP="00C162FA">
            <w:pPr>
              <w:spacing w:before="60" w:after="60"/>
              <w:rPr>
                <w:rFonts w:ascii="Arial" w:hAnsi="Arial" w:cs="Arial"/>
              </w:rPr>
            </w:pPr>
            <w:r>
              <w:rPr>
                <w:rFonts w:ascii="Arial" w:hAnsi="Arial" w:cs="Arial"/>
              </w:rPr>
              <w:t>Версия первая.</w:t>
            </w:r>
          </w:p>
        </w:tc>
      </w:tr>
    </w:tbl>
    <w:p w:rsidR="00EB2DE4" w:rsidRPr="004E395F" w:rsidRDefault="00EB2DE4" w:rsidP="00EB2DE4">
      <w:pPr>
        <w:pStyle w:val="1"/>
        <w:numPr>
          <w:ilvl w:val="0"/>
          <w:numId w:val="5"/>
        </w:numPr>
        <w:tabs>
          <w:tab w:val="left" w:pos="540"/>
        </w:tabs>
        <w:spacing w:after="240"/>
        <w:ind w:left="357" w:hanging="357"/>
        <w:rPr>
          <w:sz w:val="24"/>
          <w:szCs w:val="24"/>
        </w:rPr>
      </w:pPr>
      <w:bookmarkStart w:id="95" w:name="_Toc314226190"/>
      <w:bookmarkStart w:id="96" w:name="_Toc322961186"/>
      <w:bookmarkStart w:id="97" w:name="_Toc326066021"/>
      <w:bookmarkStart w:id="98" w:name="_Toc326066291"/>
      <w:bookmarkStart w:id="99" w:name="_Toc326067322"/>
      <w:bookmarkStart w:id="100" w:name="_Toc370295581"/>
      <w:r w:rsidRPr="00D651BF">
        <w:rPr>
          <w:sz w:val="24"/>
          <w:szCs w:val="24"/>
        </w:rPr>
        <w:t>Контроль актуализаци</w:t>
      </w:r>
      <w:r w:rsidRPr="004E395F">
        <w:rPr>
          <w:sz w:val="24"/>
          <w:szCs w:val="24"/>
        </w:rPr>
        <w:t>и</w:t>
      </w:r>
      <w:bookmarkEnd w:id="95"/>
      <w:bookmarkEnd w:id="96"/>
      <w:bookmarkEnd w:id="97"/>
      <w:bookmarkEnd w:id="98"/>
      <w:bookmarkEnd w:id="99"/>
      <w:bookmarkEnd w:id="100"/>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260"/>
        <w:gridCol w:w="2520"/>
        <w:gridCol w:w="2340"/>
        <w:gridCol w:w="2777"/>
      </w:tblGrid>
      <w:tr w:rsidR="00EB2DE4" w:rsidRPr="00B81A32" w:rsidTr="00C162FA">
        <w:tc>
          <w:tcPr>
            <w:tcW w:w="828"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 п/п</w:t>
            </w:r>
          </w:p>
        </w:tc>
        <w:tc>
          <w:tcPr>
            <w:tcW w:w="1260"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Дата</w:t>
            </w:r>
          </w:p>
        </w:tc>
        <w:tc>
          <w:tcPr>
            <w:tcW w:w="2520"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Изменений не требуется</w:t>
            </w:r>
          </w:p>
        </w:tc>
        <w:tc>
          <w:tcPr>
            <w:tcW w:w="2340"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Требуются изменения</w:t>
            </w:r>
          </w:p>
        </w:tc>
        <w:tc>
          <w:tcPr>
            <w:tcW w:w="2777" w:type="dxa"/>
            <w:shd w:val="clear" w:color="auto" w:fill="D9D9D9"/>
            <w:vAlign w:val="center"/>
          </w:tcPr>
          <w:p w:rsidR="00EB2DE4" w:rsidRPr="00B81A32" w:rsidRDefault="00EB2DE4" w:rsidP="00C162FA">
            <w:pPr>
              <w:spacing w:before="60" w:after="60"/>
              <w:jc w:val="center"/>
              <w:rPr>
                <w:rFonts w:ascii="Arial" w:hAnsi="Arial" w:cs="Arial"/>
                <w:b/>
                <w:sz w:val="20"/>
                <w:szCs w:val="20"/>
              </w:rPr>
            </w:pPr>
            <w:r w:rsidRPr="00B81A32">
              <w:rPr>
                <w:rFonts w:ascii="Arial" w:hAnsi="Arial" w:cs="Arial"/>
                <w:b/>
                <w:sz w:val="20"/>
                <w:szCs w:val="20"/>
              </w:rPr>
              <w:t>Подпись владельца</w:t>
            </w:r>
          </w:p>
        </w:tc>
      </w:tr>
      <w:tr w:rsidR="00EB2DE4" w:rsidRPr="00DA62C2" w:rsidTr="00C162FA">
        <w:tc>
          <w:tcPr>
            <w:tcW w:w="828" w:type="dxa"/>
            <w:shd w:val="clear" w:color="auto" w:fill="auto"/>
          </w:tcPr>
          <w:p w:rsidR="00EB2DE4" w:rsidRPr="00DA62C2" w:rsidRDefault="00EB2DE4" w:rsidP="00C162FA">
            <w:pPr>
              <w:spacing w:before="60" w:after="60"/>
              <w:rPr>
                <w:rFonts w:ascii="Arial" w:hAnsi="Arial" w:cs="Arial"/>
              </w:rPr>
            </w:pPr>
            <w:r w:rsidRPr="00DA62C2">
              <w:rPr>
                <w:rFonts w:ascii="Arial" w:hAnsi="Arial" w:cs="Arial"/>
              </w:rPr>
              <w:t xml:space="preserve">1. </w:t>
            </w:r>
          </w:p>
        </w:tc>
        <w:tc>
          <w:tcPr>
            <w:tcW w:w="1260" w:type="dxa"/>
            <w:shd w:val="clear" w:color="auto" w:fill="auto"/>
          </w:tcPr>
          <w:p w:rsidR="00EB2DE4" w:rsidRPr="00DA62C2" w:rsidRDefault="00EB2DE4" w:rsidP="00C162FA">
            <w:pPr>
              <w:spacing w:before="60" w:after="60"/>
              <w:rPr>
                <w:rFonts w:ascii="Arial" w:hAnsi="Arial" w:cs="Arial"/>
              </w:rPr>
            </w:pPr>
          </w:p>
        </w:tc>
        <w:tc>
          <w:tcPr>
            <w:tcW w:w="2520" w:type="dxa"/>
            <w:shd w:val="clear" w:color="auto" w:fill="auto"/>
          </w:tcPr>
          <w:p w:rsidR="00EB2DE4" w:rsidRPr="00DA62C2" w:rsidRDefault="00EB2DE4" w:rsidP="00C162FA">
            <w:pPr>
              <w:spacing w:before="60" w:after="60"/>
              <w:rPr>
                <w:rFonts w:ascii="Arial" w:hAnsi="Arial" w:cs="Arial"/>
              </w:rPr>
            </w:pPr>
          </w:p>
        </w:tc>
        <w:tc>
          <w:tcPr>
            <w:tcW w:w="2340" w:type="dxa"/>
            <w:shd w:val="clear" w:color="auto" w:fill="auto"/>
          </w:tcPr>
          <w:p w:rsidR="00EB2DE4" w:rsidRPr="00DA62C2" w:rsidRDefault="00EB2DE4" w:rsidP="00C162FA">
            <w:pPr>
              <w:spacing w:before="60" w:after="60"/>
              <w:rPr>
                <w:rFonts w:ascii="Arial" w:hAnsi="Arial" w:cs="Arial"/>
              </w:rPr>
            </w:pPr>
          </w:p>
        </w:tc>
        <w:tc>
          <w:tcPr>
            <w:tcW w:w="2777" w:type="dxa"/>
            <w:shd w:val="clear" w:color="auto" w:fill="auto"/>
          </w:tcPr>
          <w:p w:rsidR="00EB2DE4" w:rsidRPr="00DA62C2" w:rsidRDefault="00EB2DE4" w:rsidP="00C162FA">
            <w:pPr>
              <w:spacing w:before="60" w:after="60"/>
              <w:rPr>
                <w:rFonts w:ascii="Arial" w:hAnsi="Arial" w:cs="Arial"/>
              </w:rPr>
            </w:pPr>
          </w:p>
        </w:tc>
      </w:tr>
    </w:tbl>
    <w:p w:rsidR="00EB2DE4" w:rsidRPr="004E395F" w:rsidRDefault="00EB2DE4" w:rsidP="00EB2DE4">
      <w:pPr>
        <w:pStyle w:val="1"/>
        <w:numPr>
          <w:ilvl w:val="0"/>
          <w:numId w:val="5"/>
        </w:numPr>
        <w:tabs>
          <w:tab w:val="left" w:pos="540"/>
        </w:tabs>
        <w:spacing w:after="240"/>
        <w:ind w:left="357" w:hanging="357"/>
        <w:rPr>
          <w:sz w:val="24"/>
          <w:szCs w:val="24"/>
        </w:rPr>
      </w:pPr>
      <w:bookmarkStart w:id="101" w:name="_Toc314226191"/>
      <w:bookmarkStart w:id="102" w:name="_Toc322961187"/>
      <w:bookmarkStart w:id="103" w:name="_Toc326066022"/>
      <w:bookmarkStart w:id="104" w:name="_Toc326066292"/>
      <w:bookmarkStart w:id="105" w:name="_Toc326067323"/>
      <w:bookmarkStart w:id="106" w:name="_Toc370295582"/>
      <w:r w:rsidRPr="00D651BF">
        <w:rPr>
          <w:sz w:val="24"/>
          <w:szCs w:val="24"/>
        </w:rPr>
        <w:lastRenderedPageBreak/>
        <w:t>Права доступа к документу</w:t>
      </w:r>
      <w:bookmarkEnd w:id="101"/>
      <w:bookmarkEnd w:id="102"/>
      <w:bookmarkEnd w:id="103"/>
      <w:bookmarkEnd w:id="104"/>
      <w:bookmarkEnd w:id="105"/>
      <w:bookmarkEnd w:id="106"/>
    </w:p>
    <w:p w:rsidR="00EB2DE4" w:rsidRPr="00DA62C2" w:rsidRDefault="00EB2DE4" w:rsidP="00EB2DE4">
      <w:pPr>
        <w:numPr>
          <w:ilvl w:val="1"/>
          <w:numId w:val="5"/>
        </w:numPr>
        <w:tabs>
          <w:tab w:val="clear" w:pos="792"/>
          <w:tab w:val="num" w:pos="574"/>
        </w:tabs>
        <w:ind w:left="574" w:hanging="574"/>
        <w:jc w:val="both"/>
        <w:rPr>
          <w:rFonts w:ascii="Arial" w:hAnsi="Arial" w:cs="Arial"/>
        </w:rPr>
      </w:pPr>
      <w:r>
        <w:rPr>
          <w:rFonts w:ascii="Arial" w:hAnsi="Arial" w:cs="Arial"/>
        </w:rPr>
        <w:t xml:space="preserve"> Права доступа к документу н</w:t>
      </w:r>
      <w:r w:rsidRPr="00DA62C2">
        <w:rPr>
          <w:rFonts w:ascii="Arial" w:hAnsi="Arial" w:cs="Arial"/>
        </w:rPr>
        <w:t>е ограничены.</w:t>
      </w:r>
    </w:p>
    <w:p w:rsidR="00EB2DE4" w:rsidRDefault="00EB2DE4" w:rsidP="00EB2DE4">
      <w:pPr>
        <w:jc w:val="both"/>
        <w:rPr>
          <w:rStyle w:val="10"/>
          <w:sz w:val="24"/>
          <w:szCs w:val="24"/>
        </w:rPr>
      </w:pPr>
      <w:r w:rsidRPr="00D651BF">
        <w:br w:type="page"/>
      </w:r>
      <w:bookmarkStart w:id="107" w:name="_Toc314226192"/>
      <w:bookmarkStart w:id="108" w:name="_Toc322961188"/>
      <w:bookmarkStart w:id="109" w:name="_Toc326066023"/>
      <w:bookmarkStart w:id="110" w:name="_Toc326066293"/>
      <w:bookmarkStart w:id="111" w:name="_Toc326067324"/>
      <w:r w:rsidRPr="00A56CB7" w:rsidDel="00E1449F">
        <w:rPr>
          <w:rStyle w:val="10"/>
          <w:sz w:val="24"/>
          <w:szCs w:val="24"/>
        </w:rPr>
        <w:lastRenderedPageBreak/>
        <w:t xml:space="preserve"> </w:t>
      </w:r>
      <w:bookmarkStart w:id="112" w:name="_Toc370295583"/>
      <w:bookmarkEnd w:id="107"/>
      <w:bookmarkEnd w:id="108"/>
      <w:bookmarkEnd w:id="109"/>
      <w:bookmarkEnd w:id="110"/>
      <w:bookmarkEnd w:id="111"/>
      <w:r w:rsidRPr="00A56CB7">
        <w:rPr>
          <w:rStyle w:val="10"/>
          <w:sz w:val="24"/>
          <w:szCs w:val="24"/>
        </w:rPr>
        <w:t xml:space="preserve">Приложение </w:t>
      </w:r>
      <w:r>
        <w:rPr>
          <w:rStyle w:val="10"/>
          <w:sz w:val="24"/>
          <w:szCs w:val="24"/>
        </w:rPr>
        <w:t xml:space="preserve">№ </w:t>
      </w:r>
      <w:r w:rsidRPr="00A56CB7">
        <w:rPr>
          <w:rStyle w:val="10"/>
          <w:sz w:val="24"/>
          <w:szCs w:val="24"/>
        </w:rPr>
        <w:t>1</w:t>
      </w:r>
      <w:r>
        <w:rPr>
          <w:rStyle w:val="10"/>
          <w:sz w:val="24"/>
          <w:szCs w:val="24"/>
        </w:rPr>
        <w:t>. Разграничение функциональных обязанностей по проведению финансово-экономической экспертизы</w:t>
      </w:r>
      <w:bookmarkEnd w:id="112"/>
      <w:r>
        <w:rPr>
          <w:rStyle w:val="10"/>
          <w:sz w:val="24"/>
          <w:szCs w:val="24"/>
        </w:rPr>
        <w:t xml:space="preserve"> </w:t>
      </w:r>
    </w:p>
    <w:p w:rsidR="00EB2DE4" w:rsidRPr="006344E7" w:rsidRDefault="00EB2DE4" w:rsidP="00EB2DE4">
      <w:pPr>
        <w:rPr>
          <w:b/>
          <w:bCs/>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6662"/>
      </w:tblGrid>
      <w:tr w:rsidR="00EB2DE4" w:rsidRPr="00BD7CBA" w:rsidTr="00C162FA">
        <w:trPr>
          <w:trHeight w:val="600"/>
        </w:trPr>
        <w:tc>
          <w:tcPr>
            <w:tcW w:w="2992" w:type="dxa"/>
            <w:shd w:val="clear" w:color="auto" w:fill="D9D9D9"/>
            <w:noWrap/>
            <w:vAlign w:val="center"/>
          </w:tcPr>
          <w:p w:rsidR="00EB2DE4" w:rsidRPr="00713C0B" w:rsidRDefault="00EB2DE4" w:rsidP="00C162FA">
            <w:pPr>
              <w:jc w:val="center"/>
              <w:rPr>
                <w:rFonts w:ascii="Arial" w:hAnsi="Arial" w:cs="Arial"/>
                <w:b/>
                <w:color w:val="000000"/>
                <w:sz w:val="20"/>
                <w:szCs w:val="20"/>
              </w:rPr>
            </w:pPr>
            <w:r w:rsidRPr="00713C0B">
              <w:rPr>
                <w:rFonts w:ascii="Arial" w:hAnsi="Arial" w:cs="Arial"/>
                <w:b/>
                <w:color w:val="000000"/>
                <w:sz w:val="20"/>
                <w:szCs w:val="20"/>
              </w:rPr>
              <w:t>Эксперт по направлению</w:t>
            </w:r>
          </w:p>
        </w:tc>
        <w:tc>
          <w:tcPr>
            <w:tcW w:w="6662" w:type="dxa"/>
            <w:shd w:val="clear" w:color="auto" w:fill="D9D9D9"/>
            <w:vAlign w:val="center"/>
          </w:tcPr>
          <w:p w:rsidR="00EB2DE4" w:rsidRPr="00713C0B" w:rsidRDefault="00EB2DE4" w:rsidP="00C162FA">
            <w:pPr>
              <w:jc w:val="center"/>
              <w:rPr>
                <w:rFonts w:ascii="Arial" w:hAnsi="Arial" w:cs="Arial"/>
                <w:b/>
                <w:color w:val="000000"/>
                <w:sz w:val="20"/>
                <w:szCs w:val="20"/>
              </w:rPr>
            </w:pPr>
            <w:r w:rsidRPr="00713C0B">
              <w:rPr>
                <w:rFonts w:ascii="Arial" w:hAnsi="Arial" w:cs="Arial"/>
                <w:b/>
                <w:color w:val="000000"/>
                <w:sz w:val="20"/>
                <w:szCs w:val="20"/>
              </w:rPr>
              <w:t>Проведение финансово-экономической экспертизы</w:t>
            </w:r>
          </w:p>
        </w:tc>
      </w:tr>
      <w:tr w:rsidR="00EB2DE4" w:rsidRPr="00BD7CBA" w:rsidTr="00C162FA">
        <w:trPr>
          <w:trHeight w:val="1905"/>
        </w:trPr>
        <w:tc>
          <w:tcPr>
            <w:tcW w:w="2992" w:type="dxa"/>
            <w:shd w:val="clear" w:color="auto" w:fill="auto"/>
            <w:vAlign w:val="center"/>
          </w:tcPr>
          <w:p w:rsidR="00EB2DE4" w:rsidRPr="00713C0B" w:rsidRDefault="00EB2DE4" w:rsidP="00C162FA">
            <w:pPr>
              <w:rPr>
                <w:rFonts w:ascii="Arial" w:hAnsi="Arial" w:cs="Arial"/>
                <w:color w:val="000000"/>
              </w:rPr>
            </w:pPr>
            <w:r w:rsidRPr="00713C0B">
              <w:rPr>
                <w:rFonts w:ascii="Arial" w:hAnsi="Arial" w:cs="Arial"/>
                <w:color w:val="000000"/>
              </w:rPr>
              <w:t>Работник</w:t>
            </w:r>
          </w:p>
          <w:p w:rsidR="00EB2DE4" w:rsidRPr="00713C0B" w:rsidRDefault="00EB2DE4" w:rsidP="00C162FA">
            <w:pPr>
              <w:rPr>
                <w:rFonts w:ascii="Arial" w:hAnsi="Arial" w:cs="Arial"/>
                <w:color w:val="000000"/>
              </w:rPr>
            </w:pPr>
            <w:r w:rsidRPr="00713C0B">
              <w:rPr>
                <w:rFonts w:ascii="Arial" w:hAnsi="Arial" w:cs="Arial"/>
                <w:color w:val="000000"/>
              </w:rPr>
              <w:t>Финансово-экономического центра</w:t>
            </w:r>
          </w:p>
          <w:p w:rsidR="00EB2DE4" w:rsidRPr="00713C0B" w:rsidRDefault="00EB2DE4" w:rsidP="00C162FA">
            <w:pPr>
              <w:rPr>
                <w:rFonts w:ascii="Arial" w:hAnsi="Arial" w:cs="Arial"/>
                <w:color w:val="000000"/>
              </w:rPr>
            </w:pPr>
            <w:r w:rsidRPr="00713C0B">
              <w:rPr>
                <w:rFonts w:ascii="Arial" w:hAnsi="Arial" w:cs="Arial"/>
                <w:color w:val="000000"/>
              </w:rPr>
              <w:t>ОАО «Интер РАО»</w:t>
            </w:r>
          </w:p>
        </w:tc>
        <w:tc>
          <w:tcPr>
            <w:tcW w:w="6662" w:type="dxa"/>
            <w:shd w:val="clear" w:color="auto" w:fill="auto"/>
            <w:vAlign w:val="center"/>
          </w:tcPr>
          <w:p w:rsidR="00EB2DE4" w:rsidRPr="00713C0B" w:rsidRDefault="00EB2DE4" w:rsidP="00C162FA">
            <w:pPr>
              <w:jc w:val="both"/>
              <w:rPr>
                <w:rFonts w:ascii="Arial" w:hAnsi="Arial" w:cs="Arial"/>
                <w:color w:val="000000"/>
              </w:rPr>
            </w:pPr>
            <w:r w:rsidRPr="00713C0B">
              <w:rPr>
                <w:rFonts w:ascii="Arial" w:hAnsi="Arial" w:cs="Arial"/>
                <w:color w:val="000000"/>
              </w:rPr>
              <w:t>1) закупочные процедуры Группы, сумма по которым превышает 250 млн. рублей без НДС*;</w:t>
            </w:r>
          </w:p>
          <w:p w:rsidR="00EB2DE4" w:rsidRPr="00713C0B" w:rsidRDefault="00EB2DE4" w:rsidP="00C162FA">
            <w:pPr>
              <w:jc w:val="both"/>
              <w:rPr>
                <w:rFonts w:ascii="Arial" w:hAnsi="Arial" w:cs="Arial"/>
                <w:color w:val="000000"/>
              </w:rPr>
            </w:pPr>
            <w:r w:rsidRPr="00713C0B">
              <w:rPr>
                <w:rFonts w:ascii="Arial" w:hAnsi="Arial" w:cs="Arial"/>
                <w:color w:val="000000"/>
              </w:rPr>
              <w:t>2) закупочные процедуры Группы связанные с покупкой и транспортировкой топлива для нужд российских генерирующих активов;</w:t>
            </w:r>
          </w:p>
          <w:p w:rsidR="00EB2DE4" w:rsidRPr="00713C0B" w:rsidRDefault="00EB2DE4" w:rsidP="00C162FA">
            <w:pPr>
              <w:jc w:val="both"/>
              <w:rPr>
                <w:rFonts w:ascii="Arial" w:hAnsi="Arial" w:cs="Arial"/>
                <w:color w:val="000000"/>
              </w:rPr>
            </w:pPr>
            <w:r w:rsidRPr="00713C0B">
              <w:rPr>
                <w:rFonts w:ascii="Arial" w:hAnsi="Arial" w:cs="Arial"/>
                <w:color w:val="000000"/>
              </w:rPr>
              <w:t>3) закупочные процедуры Группы на оказание услуг банков, лизинговых компаний, страховых компаний и иных финансовых организаций**</w:t>
            </w:r>
            <w:r>
              <w:rPr>
                <w:rFonts w:ascii="Arial" w:hAnsi="Arial" w:cs="Arial"/>
                <w:color w:val="000000"/>
              </w:rPr>
              <w:t>.</w:t>
            </w:r>
          </w:p>
        </w:tc>
      </w:tr>
      <w:tr w:rsidR="00EB2DE4" w:rsidRPr="00BD7CBA" w:rsidTr="00C162FA">
        <w:trPr>
          <w:trHeight w:val="975"/>
        </w:trPr>
        <w:tc>
          <w:tcPr>
            <w:tcW w:w="2992" w:type="dxa"/>
            <w:shd w:val="clear" w:color="auto" w:fill="auto"/>
            <w:vAlign w:val="center"/>
          </w:tcPr>
          <w:p w:rsidR="00EB2DE4" w:rsidRPr="00713C0B" w:rsidRDefault="00EB2DE4" w:rsidP="00C162FA">
            <w:pPr>
              <w:rPr>
                <w:rFonts w:ascii="Arial" w:hAnsi="Arial" w:cs="Arial"/>
                <w:color w:val="000000"/>
              </w:rPr>
            </w:pPr>
            <w:r w:rsidRPr="00713C0B">
              <w:rPr>
                <w:rFonts w:ascii="Arial" w:hAnsi="Arial" w:cs="Arial"/>
                <w:color w:val="000000"/>
              </w:rPr>
              <w:t xml:space="preserve">Работник </w:t>
            </w:r>
          </w:p>
          <w:p w:rsidR="00EB2DE4" w:rsidRPr="00713C0B" w:rsidRDefault="00EB2DE4" w:rsidP="00C162FA">
            <w:pPr>
              <w:rPr>
                <w:rFonts w:ascii="Arial" w:hAnsi="Arial" w:cs="Arial"/>
                <w:color w:val="000000"/>
              </w:rPr>
            </w:pPr>
            <w:r w:rsidRPr="00713C0B">
              <w:rPr>
                <w:rFonts w:ascii="Arial" w:hAnsi="Arial" w:cs="Arial"/>
                <w:color w:val="000000"/>
              </w:rPr>
              <w:t>ООО «ИНТЕР РАО – Центр управления закупками» (СЗО)</w:t>
            </w:r>
          </w:p>
        </w:tc>
        <w:tc>
          <w:tcPr>
            <w:tcW w:w="6662" w:type="dxa"/>
            <w:shd w:val="clear" w:color="auto" w:fill="auto"/>
            <w:vAlign w:val="center"/>
          </w:tcPr>
          <w:p w:rsidR="00EB2DE4" w:rsidRPr="00713C0B" w:rsidRDefault="00EB2DE4" w:rsidP="00C162FA">
            <w:pPr>
              <w:jc w:val="both"/>
              <w:rPr>
                <w:rFonts w:ascii="Arial" w:hAnsi="Arial" w:cs="Arial"/>
                <w:color w:val="000000"/>
              </w:rPr>
            </w:pPr>
            <w:r>
              <w:rPr>
                <w:rFonts w:ascii="Arial" w:hAnsi="Arial" w:cs="Arial"/>
                <w:color w:val="000000"/>
              </w:rPr>
              <w:t xml:space="preserve">1) </w:t>
            </w:r>
            <w:r w:rsidRPr="00713C0B">
              <w:rPr>
                <w:rFonts w:ascii="Arial" w:hAnsi="Arial" w:cs="Arial"/>
                <w:color w:val="000000"/>
              </w:rPr>
              <w:t>закупочные процедуры Группы, сумма по которым не превышает 250 млн. рублей без НДС, организатором которых является ООО «ИНТЕР РАО – Центр управления закупками» (СЗО) в части не противоречащей подпункту выше</w:t>
            </w:r>
            <w:r>
              <w:rPr>
                <w:rFonts w:ascii="Arial" w:hAnsi="Arial" w:cs="Arial"/>
                <w:color w:val="000000"/>
              </w:rPr>
              <w:t>.</w:t>
            </w:r>
          </w:p>
        </w:tc>
      </w:tr>
      <w:tr w:rsidR="00EB2DE4" w:rsidRPr="00BD7CBA" w:rsidTr="00C162FA">
        <w:trPr>
          <w:trHeight w:val="916"/>
        </w:trPr>
        <w:tc>
          <w:tcPr>
            <w:tcW w:w="2992" w:type="dxa"/>
            <w:shd w:val="clear" w:color="auto" w:fill="auto"/>
            <w:vAlign w:val="center"/>
          </w:tcPr>
          <w:p w:rsidR="00EB2DE4" w:rsidRPr="00713C0B" w:rsidRDefault="00EB2DE4" w:rsidP="00C162FA">
            <w:pPr>
              <w:rPr>
                <w:rFonts w:ascii="Arial" w:hAnsi="Arial" w:cs="Arial"/>
                <w:color w:val="000000"/>
              </w:rPr>
            </w:pPr>
            <w:r w:rsidRPr="00713C0B">
              <w:rPr>
                <w:rFonts w:ascii="Arial" w:hAnsi="Arial" w:cs="Arial"/>
                <w:color w:val="000000"/>
              </w:rPr>
              <w:t>Работник</w:t>
            </w:r>
          </w:p>
          <w:p w:rsidR="00EB2DE4" w:rsidRDefault="00EB2DE4" w:rsidP="00C162FA">
            <w:pPr>
              <w:rPr>
                <w:rFonts w:ascii="Arial" w:hAnsi="Arial" w:cs="Arial"/>
                <w:color w:val="000000"/>
              </w:rPr>
            </w:pPr>
            <w:r>
              <w:rPr>
                <w:rFonts w:ascii="Arial" w:hAnsi="Arial" w:cs="Arial"/>
              </w:rPr>
              <w:t>структурного подразделения</w:t>
            </w:r>
            <w:r w:rsidRPr="00713C0B">
              <w:rPr>
                <w:rFonts w:ascii="Arial" w:hAnsi="Arial" w:cs="Arial"/>
                <w:color w:val="000000"/>
              </w:rPr>
              <w:t xml:space="preserve"> </w:t>
            </w:r>
            <w:r>
              <w:rPr>
                <w:rFonts w:ascii="Arial" w:hAnsi="Arial" w:cs="Arial"/>
                <w:color w:val="000000"/>
              </w:rPr>
              <w:t>Общества или Управляемых обществ, находящегося в подчинении у</w:t>
            </w:r>
          </w:p>
          <w:p w:rsidR="00EB2DE4" w:rsidRPr="00713C0B" w:rsidRDefault="00EB2DE4" w:rsidP="00C162FA">
            <w:pPr>
              <w:rPr>
                <w:rFonts w:ascii="Arial" w:hAnsi="Arial" w:cs="Arial"/>
                <w:color w:val="000000"/>
              </w:rPr>
            </w:pPr>
            <w:r>
              <w:rPr>
                <w:rFonts w:ascii="Arial" w:hAnsi="Arial" w:cs="Arial"/>
              </w:rPr>
              <w:t>руководителя, к основным функциональным задачам (обязанностям) которого относится обеспечение деятельности Общества или Управляемых обществ  в области экономики и финансов</w:t>
            </w:r>
          </w:p>
        </w:tc>
        <w:tc>
          <w:tcPr>
            <w:tcW w:w="6662" w:type="dxa"/>
            <w:shd w:val="clear" w:color="auto" w:fill="auto"/>
            <w:vAlign w:val="center"/>
          </w:tcPr>
          <w:p w:rsidR="00EB2DE4" w:rsidRPr="00713C0B" w:rsidRDefault="00EB2DE4" w:rsidP="00C162FA">
            <w:pPr>
              <w:jc w:val="both"/>
              <w:rPr>
                <w:rFonts w:ascii="Arial" w:hAnsi="Arial" w:cs="Arial"/>
                <w:color w:val="000000"/>
              </w:rPr>
            </w:pPr>
            <w:r>
              <w:rPr>
                <w:rFonts w:ascii="Arial" w:hAnsi="Arial" w:cs="Arial"/>
                <w:color w:val="000000"/>
              </w:rPr>
              <w:t xml:space="preserve">1) </w:t>
            </w:r>
            <w:r w:rsidRPr="00713C0B">
              <w:rPr>
                <w:rFonts w:ascii="Arial" w:hAnsi="Arial" w:cs="Arial"/>
                <w:color w:val="000000"/>
              </w:rPr>
              <w:t xml:space="preserve">закупочные процедуры, осуществляемые для собственных нужд </w:t>
            </w:r>
            <w:r>
              <w:rPr>
                <w:rFonts w:ascii="Arial" w:hAnsi="Arial" w:cs="Arial"/>
                <w:color w:val="000000"/>
              </w:rPr>
              <w:t>бизнес-д</w:t>
            </w:r>
            <w:r w:rsidRPr="00713C0B">
              <w:rPr>
                <w:rFonts w:ascii="Arial" w:hAnsi="Arial" w:cs="Arial"/>
                <w:color w:val="000000"/>
              </w:rPr>
              <w:t>ивизиона</w:t>
            </w:r>
            <w:r>
              <w:rPr>
                <w:rFonts w:ascii="Arial" w:hAnsi="Arial" w:cs="Arial"/>
                <w:color w:val="000000"/>
              </w:rPr>
              <w:t xml:space="preserve"> «</w:t>
            </w:r>
            <w:r w:rsidRPr="00A36C97">
              <w:rPr>
                <w:rFonts w:ascii="Arial" w:hAnsi="Arial" w:cs="Arial"/>
                <w:color w:val="000000"/>
              </w:rPr>
              <w:t>Электрогенерация», организаторами которых явля</w:t>
            </w:r>
            <w:r>
              <w:rPr>
                <w:rFonts w:ascii="Arial" w:hAnsi="Arial" w:cs="Arial"/>
                <w:color w:val="000000"/>
              </w:rPr>
              <w:t>ю</w:t>
            </w:r>
            <w:r w:rsidRPr="00A36C97">
              <w:rPr>
                <w:rFonts w:ascii="Arial" w:hAnsi="Arial" w:cs="Arial"/>
                <w:color w:val="000000"/>
              </w:rPr>
              <w:t xml:space="preserve">тся Общество или Управляемые </w:t>
            </w:r>
            <w:r>
              <w:rPr>
                <w:rFonts w:ascii="Arial" w:hAnsi="Arial" w:cs="Arial"/>
                <w:color w:val="000000"/>
              </w:rPr>
              <w:t>о</w:t>
            </w:r>
            <w:r w:rsidRPr="00A36C97">
              <w:rPr>
                <w:rFonts w:ascii="Arial" w:hAnsi="Arial" w:cs="Arial"/>
                <w:color w:val="000000"/>
              </w:rPr>
              <w:t>бщества, сумма за</w:t>
            </w:r>
            <w:r w:rsidRPr="00713C0B">
              <w:rPr>
                <w:rFonts w:ascii="Arial" w:hAnsi="Arial" w:cs="Arial"/>
                <w:color w:val="000000"/>
              </w:rPr>
              <w:t xml:space="preserve">купки </w:t>
            </w:r>
            <w:r>
              <w:rPr>
                <w:rFonts w:ascii="Arial" w:hAnsi="Arial" w:cs="Arial"/>
                <w:color w:val="000000"/>
              </w:rPr>
              <w:t xml:space="preserve">которых </w:t>
            </w:r>
            <w:r w:rsidRPr="00713C0B">
              <w:rPr>
                <w:rFonts w:ascii="Arial" w:hAnsi="Arial" w:cs="Arial"/>
                <w:color w:val="000000"/>
              </w:rPr>
              <w:t>не превышает 250 млн. рублей без НДС в части не противоречащей подпунктам выше</w:t>
            </w:r>
            <w:r>
              <w:rPr>
                <w:rFonts w:ascii="Arial" w:hAnsi="Arial" w:cs="Arial"/>
                <w:color w:val="000000"/>
              </w:rPr>
              <w:t>.</w:t>
            </w:r>
          </w:p>
        </w:tc>
      </w:tr>
    </w:tbl>
    <w:p w:rsidR="00EB2DE4" w:rsidRDefault="00EB2DE4" w:rsidP="00EB2DE4">
      <w:pPr>
        <w:jc w:val="both"/>
        <w:rPr>
          <w:rFonts w:ascii="Arial" w:hAnsi="Arial" w:cs="Arial"/>
          <w:i/>
          <w:sz w:val="20"/>
          <w:szCs w:val="20"/>
        </w:rPr>
      </w:pPr>
    </w:p>
    <w:p w:rsidR="00EB2DE4" w:rsidRDefault="00EB2DE4" w:rsidP="00EB2DE4">
      <w:pPr>
        <w:jc w:val="both"/>
        <w:rPr>
          <w:rFonts w:ascii="Arial" w:hAnsi="Arial" w:cs="Arial"/>
          <w:i/>
          <w:sz w:val="20"/>
          <w:szCs w:val="20"/>
        </w:rPr>
      </w:pPr>
      <w:r w:rsidRPr="00A0306D">
        <w:rPr>
          <w:rFonts w:ascii="Arial" w:hAnsi="Arial" w:cs="Arial"/>
          <w:i/>
          <w:sz w:val="20"/>
          <w:szCs w:val="20"/>
        </w:rPr>
        <w:t xml:space="preserve">*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Для </w:t>
      </w:r>
      <w:r>
        <w:rPr>
          <w:rFonts w:ascii="Arial" w:hAnsi="Arial" w:cs="Arial"/>
          <w:i/>
          <w:sz w:val="20"/>
          <w:szCs w:val="20"/>
        </w:rPr>
        <w:t>конкурентных</w:t>
      </w:r>
      <w:r w:rsidRPr="00A0306D">
        <w:rPr>
          <w:rFonts w:ascii="Arial" w:hAnsi="Arial" w:cs="Arial"/>
          <w:i/>
          <w:sz w:val="20"/>
          <w:szCs w:val="20"/>
        </w:rPr>
        <w:t xml:space="preserve"> закупочных процедур, по итогам проведения которых планируется заключение рамочных соглашений и договоров,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rsidR="00EB2DE4" w:rsidRDefault="00EB2DE4" w:rsidP="00EB2DE4">
      <w:pPr>
        <w:jc w:val="both"/>
        <w:rPr>
          <w:rFonts w:ascii="Arial" w:hAnsi="Arial" w:cs="Arial"/>
          <w:i/>
          <w:sz w:val="20"/>
          <w:szCs w:val="20"/>
        </w:rPr>
      </w:pPr>
      <w:r>
        <w:rPr>
          <w:rFonts w:ascii="Arial" w:hAnsi="Arial" w:cs="Arial"/>
          <w:i/>
          <w:sz w:val="20"/>
          <w:szCs w:val="20"/>
        </w:rPr>
        <w:t>** оценка финансовой устойчивости финансовых организаций проводится на основе Методики</w:t>
      </w:r>
      <w:r w:rsidRPr="004162B1">
        <w:rPr>
          <w:rFonts w:ascii="Arial" w:hAnsi="Arial" w:cs="Arial"/>
          <w:i/>
          <w:sz w:val="20"/>
          <w:szCs w:val="20"/>
        </w:rPr>
        <w:t xml:space="preserve"> оценки и ограничения кредитного риска по операциям с банками-контрагентами и прочими финансовыми организациями</w:t>
      </w:r>
      <w:r>
        <w:rPr>
          <w:rFonts w:ascii="Arial" w:hAnsi="Arial" w:cs="Arial"/>
          <w:i/>
          <w:sz w:val="20"/>
          <w:szCs w:val="20"/>
        </w:rPr>
        <w:t xml:space="preserve">, утвержденной приказом от 29.05.2012 </w:t>
      </w:r>
      <w:r w:rsidRPr="00ED1456">
        <w:rPr>
          <w:rFonts w:ascii="Arial" w:hAnsi="Arial" w:cs="Arial"/>
          <w:i/>
          <w:sz w:val="20"/>
          <w:szCs w:val="20"/>
        </w:rPr>
        <w:t>№ ИРАО/327</w:t>
      </w:r>
      <w:r>
        <w:rPr>
          <w:rFonts w:ascii="Arial" w:hAnsi="Arial" w:cs="Arial"/>
          <w:i/>
          <w:sz w:val="20"/>
          <w:szCs w:val="20"/>
        </w:rPr>
        <w:t>.</w:t>
      </w:r>
    </w:p>
    <w:p w:rsidR="00EB2DE4" w:rsidRDefault="00EB2DE4" w:rsidP="00EB2DE4">
      <w:pPr>
        <w:jc w:val="both"/>
        <w:rPr>
          <w:rFonts w:ascii="Arial" w:hAnsi="Arial" w:cs="Arial"/>
          <w:i/>
          <w:sz w:val="20"/>
          <w:szCs w:val="20"/>
        </w:rPr>
      </w:pPr>
    </w:p>
    <w:p w:rsidR="00EB2DE4" w:rsidRPr="00F700AE" w:rsidRDefault="00EB2DE4" w:rsidP="00EB2DE4">
      <w:pPr>
        <w:jc w:val="both"/>
        <w:rPr>
          <w:rFonts w:ascii="Arial" w:eastAsia="Calibri" w:hAnsi="Arial" w:cs="Arial"/>
          <w:b/>
          <w:lang w:eastAsia="en-US"/>
        </w:rPr>
      </w:pPr>
      <w:r w:rsidRPr="00F700AE">
        <w:rPr>
          <w:rFonts w:ascii="Arial" w:eastAsia="Calibri" w:hAnsi="Arial" w:cs="Arial"/>
          <w:b/>
          <w:lang w:eastAsia="en-US"/>
        </w:rPr>
        <w:t>Функции контроля</w:t>
      </w:r>
      <w:r>
        <w:rPr>
          <w:rFonts w:ascii="Arial" w:eastAsia="Calibri" w:hAnsi="Arial" w:cs="Arial"/>
          <w:b/>
          <w:lang w:eastAsia="en-US"/>
        </w:rPr>
        <w:t xml:space="preserve"> в части проведения финансово-экономической экспертизы</w:t>
      </w:r>
    </w:p>
    <w:p w:rsidR="00EB2DE4" w:rsidRPr="00F700AE" w:rsidRDefault="00EB2DE4" w:rsidP="00EB2DE4">
      <w:pPr>
        <w:spacing w:after="200"/>
        <w:ind w:firstLine="709"/>
        <w:contextualSpacing/>
        <w:jc w:val="both"/>
        <w:rPr>
          <w:rFonts w:ascii="Arial" w:eastAsia="Calibri" w:hAnsi="Arial" w:cs="Arial"/>
          <w:lang w:eastAsia="en-US"/>
        </w:rPr>
      </w:pPr>
    </w:p>
    <w:p w:rsidR="00EB2DE4" w:rsidRPr="003750B0" w:rsidRDefault="00EB2DE4" w:rsidP="00EB2DE4">
      <w:pPr>
        <w:spacing w:after="200"/>
        <w:ind w:firstLine="709"/>
        <w:contextualSpacing/>
        <w:jc w:val="both"/>
        <w:rPr>
          <w:rFonts w:ascii="Arial" w:eastAsia="Calibri" w:hAnsi="Arial" w:cs="Arial"/>
          <w:lang w:eastAsia="en-US"/>
        </w:rPr>
      </w:pPr>
      <w:r w:rsidRPr="003750B0">
        <w:rPr>
          <w:rFonts w:ascii="Arial" w:eastAsia="Calibri" w:hAnsi="Arial" w:cs="Arial"/>
          <w:lang w:eastAsia="en-US"/>
        </w:rPr>
        <w:t xml:space="preserve">Для целей оперативного мониторинга и анализа эффективности мероприятий по проведению финансово-экономической экспертизы </w:t>
      </w:r>
      <w:r w:rsidRPr="00A14C98">
        <w:rPr>
          <w:rFonts w:ascii="Arial" w:eastAsia="Calibri" w:hAnsi="Arial" w:cs="Arial"/>
          <w:lang w:eastAsia="en-US"/>
        </w:rPr>
        <w:t xml:space="preserve">специализированная закупочная организация </w:t>
      </w:r>
      <w:r>
        <w:rPr>
          <w:rFonts w:ascii="Arial" w:eastAsia="Calibri" w:hAnsi="Arial" w:cs="Arial"/>
          <w:lang w:eastAsia="en-US"/>
        </w:rPr>
        <w:t xml:space="preserve">ООО «ИНТЕР РАО – Центр управления закупками» (далее – </w:t>
      </w:r>
      <w:r>
        <w:rPr>
          <w:rFonts w:ascii="Arial" w:eastAsia="Calibri" w:hAnsi="Arial" w:cs="Arial"/>
          <w:lang w:eastAsia="en-US"/>
        </w:rPr>
        <w:lastRenderedPageBreak/>
        <w:t>СЗО)  консолидирует информацию о результатах финансово-экономической экспертизы по закупочным процедурам, организованным СЗО для нужд компаний Группы «Интер РАО».</w:t>
      </w:r>
    </w:p>
    <w:p w:rsidR="00EB2DE4" w:rsidRDefault="00EB2DE4" w:rsidP="00EB2DE4">
      <w:pPr>
        <w:spacing w:after="200"/>
        <w:ind w:firstLine="709"/>
        <w:contextualSpacing/>
        <w:jc w:val="both"/>
        <w:rPr>
          <w:rFonts w:ascii="Arial" w:eastAsia="Calibri" w:hAnsi="Arial" w:cs="Arial"/>
          <w:lang w:eastAsia="en-US"/>
        </w:rPr>
      </w:pPr>
      <w:r w:rsidRPr="003750B0">
        <w:rPr>
          <w:rFonts w:ascii="Arial" w:eastAsia="Calibri" w:hAnsi="Arial" w:cs="Arial"/>
          <w:lang w:eastAsia="en-US"/>
        </w:rPr>
        <w:t xml:space="preserve">По итогам каждого полугодия в срок не позднее 31 августа </w:t>
      </w:r>
      <w:r>
        <w:rPr>
          <w:rFonts w:ascii="Arial" w:eastAsia="Calibri" w:hAnsi="Arial" w:cs="Arial"/>
          <w:lang w:eastAsia="en-US"/>
        </w:rPr>
        <w:t xml:space="preserve">отчетного года </w:t>
      </w:r>
      <w:r w:rsidRPr="003750B0">
        <w:rPr>
          <w:rFonts w:ascii="Arial" w:eastAsia="Calibri" w:hAnsi="Arial" w:cs="Arial"/>
          <w:lang w:eastAsia="en-US"/>
        </w:rPr>
        <w:t>для первого полугодия</w:t>
      </w:r>
      <w:r>
        <w:rPr>
          <w:rFonts w:ascii="Arial" w:eastAsia="Calibri" w:hAnsi="Arial" w:cs="Arial"/>
          <w:lang w:eastAsia="en-US"/>
        </w:rPr>
        <w:t xml:space="preserve"> отчетного года</w:t>
      </w:r>
      <w:r w:rsidRPr="003750B0">
        <w:rPr>
          <w:rFonts w:ascii="Arial" w:eastAsia="Calibri" w:hAnsi="Arial" w:cs="Arial"/>
          <w:lang w:eastAsia="en-US"/>
        </w:rPr>
        <w:t xml:space="preserve"> и не позднее 28 февраля </w:t>
      </w:r>
      <w:r>
        <w:rPr>
          <w:rFonts w:ascii="Arial" w:eastAsia="Calibri" w:hAnsi="Arial" w:cs="Arial"/>
          <w:lang w:eastAsia="en-US"/>
        </w:rPr>
        <w:t xml:space="preserve">последующего года </w:t>
      </w:r>
      <w:r w:rsidRPr="003750B0">
        <w:rPr>
          <w:rFonts w:ascii="Arial" w:eastAsia="Calibri" w:hAnsi="Arial" w:cs="Arial"/>
          <w:lang w:eastAsia="en-US"/>
        </w:rPr>
        <w:t xml:space="preserve">для второго полугодия </w:t>
      </w:r>
      <w:r>
        <w:rPr>
          <w:rFonts w:ascii="Arial" w:eastAsia="Calibri" w:hAnsi="Arial" w:cs="Arial"/>
          <w:lang w:eastAsia="en-US"/>
        </w:rPr>
        <w:t>отчетного</w:t>
      </w:r>
      <w:r w:rsidRPr="003750B0">
        <w:rPr>
          <w:rFonts w:ascii="Arial" w:eastAsia="Calibri" w:hAnsi="Arial" w:cs="Arial"/>
          <w:lang w:eastAsia="en-US"/>
        </w:rPr>
        <w:t xml:space="preserve"> года </w:t>
      </w:r>
      <w:r>
        <w:rPr>
          <w:rFonts w:ascii="Arial" w:eastAsia="Calibri" w:hAnsi="Arial" w:cs="Arial"/>
          <w:lang w:eastAsia="en-US"/>
        </w:rPr>
        <w:t>СЗО</w:t>
      </w:r>
      <w:r w:rsidRPr="003750B0">
        <w:rPr>
          <w:rFonts w:ascii="Arial" w:eastAsia="Calibri" w:hAnsi="Arial" w:cs="Arial"/>
          <w:lang w:eastAsia="en-US"/>
        </w:rPr>
        <w:t xml:space="preserve"> формирует и направляет </w:t>
      </w:r>
      <w:r>
        <w:rPr>
          <w:rFonts w:ascii="Arial" w:eastAsia="Calibri" w:hAnsi="Arial" w:cs="Arial"/>
          <w:lang w:eastAsia="en-US"/>
        </w:rPr>
        <w:t>официальным письмом в адрес руководителя Финансово-экономического центра</w:t>
      </w:r>
      <w:r w:rsidRPr="003750B0">
        <w:rPr>
          <w:rFonts w:ascii="Arial" w:eastAsia="Calibri" w:hAnsi="Arial" w:cs="Arial"/>
          <w:lang w:eastAsia="en-US"/>
        </w:rPr>
        <w:t xml:space="preserve"> ОАО «</w:t>
      </w:r>
      <w:r>
        <w:rPr>
          <w:rFonts w:ascii="Arial" w:eastAsia="Calibri" w:hAnsi="Arial" w:cs="Arial"/>
          <w:lang w:eastAsia="en-US"/>
        </w:rPr>
        <w:t>Интер РАО</w:t>
      </w:r>
      <w:r w:rsidRPr="003750B0">
        <w:rPr>
          <w:rFonts w:ascii="Arial" w:eastAsia="Calibri" w:hAnsi="Arial" w:cs="Arial"/>
          <w:lang w:eastAsia="en-US"/>
        </w:rPr>
        <w:t>» отчет о проведенных</w:t>
      </w:r>
      <w:r>
        <w:rPr>
          <w:rFonts w:ascii="Arial" w:eastAsia="Calibri" w:hAnsi="Arial" w:cs="Arial"/>
          <w:lang w:eastAsia="en-US"/>
        </w:rPr>
        <w:t xml:space="preserve"> финансово-экономических </w:t>
      </w:r>
      <w:r w:rsidRPr="003750B0">
        <w:rPr>
          <w:rFonts w:ascii="Arial" w:eastAsia="Calibri" w:hAnsi="Arial" w:cs="Arial"/>
          <w:lang w:eastAsia="en-US"/>
        </w:rPr>
        <w:t xml:space="preserve">экспертизах по </w:t>
      </w:r>
      <w:r>
        <w:rPr>
          <w:rFonts w:ascii="Arial" w:eastAsia="Calibri" w:hAnsi="Arial" w:cs="Arial"/>
          <w:lang w:eastAsia="en-US"/>
        </w:rPr>
        <w:t>всем состоявшимся закупочным процедурам, организованным, СЗО, на сумму свыше</w:t>
      </w:r>
      <w:r w:rsidRPr="003750B0">
        <w:rPr>
          <w:rFonts w:ascii="Arial" w:eastAsia="Calibri" w:hAnsi="Arial" w:cs="Arial"/>
          <w:lang w:eastAsia="en-US"/>
        </w:rPr>
        <w:t xml:space="preserve"> 30 млн. рублей без НДС</w:t>
      </w:r>
      <w:r>
        <w:rPr>
          <w:rFonts w:ascii="Arial" w:eastAsia="Calibri" w:hAnsi="Arial" w:cs="Arial"/>
          <w:lang w:eastAsia="en-US"/>
        </w:rPr>
        <w:t xml:space="preserve">. Отчет предоставляется в формате таблицы </w:t>
      </w:r>
      <w:r>
        <w:rPr>
          <w:rFonts w:ascii="Arial" w:eastAsia="Calibri" w:hAnsi="Arial" w:cs="Arial"/>
          <w:lang w:val="en-US" w:eastAsia="en-US"/>
        </w:rPr>
        <w:t>MS</w:t>
      </w:r>
      <w:r w:rsidRPr="00C057C5">
        <w:rPr>
          <w:rFonts w:ascii="Arial" w:eastAsia="Calibri" w:hAnsi="Arial" w:cs="Arial"/>
          <w:lang w:eastAsia="en-US"/>
        </w:rPr>
        <w:t xml:space="preserve"> </w:t>
      </w:r>
      <w:r>
        <w:rPr>
          <w:rFonts w:ascii="Arial" w:eastAsia="Calibri" w:hAnsi="Arial" w:cs="Arial"/>
          <w:lang w:val="en-US" w:eastAsia="en-US"/>
        </w:rPr>
        <w:t>EXCEL</w:t>
      </w:r>
      <w:r w:rsidRPr="00C057C5">
        <w:rPr>
          <w:rFonts w:ascii="Arial" w:eastAsia="Calibri" w:hAnsi="Arial" w:cs="Arial"/>
          <w:lang w:eastAsia="en-US"/>
        </w:rPr>
        <w:t xml:space="preserve"> </w:t>
      </w:r>
      <w:r>
        <w:rPr>
          <w:rFonts w:ascii="Arial" w:eastAsia="Calibri" w:hAnsi="Arial" w:cs="Arial"/>
          <w:lang w:eastAsia="en-US"/>
        </w:rPr>
        <w:t>и по каждой закупочной процедуре содержит следующие поля:</w:t>
      </w:r>
    </w:p>
    <w:p w:rsidR="00EB2DE4" w:rsidRDefault="00EB2DE4" w:rsidP="00EB2DE4">
      <w:pPr>
        <w:spacing w:after="200"/>
        <w:ind w:firstLine="709"/>
        <w:contextualSpacing/>
        <w:jc w:val="both"/>
        <w:rPr>
          <w:rFonts w:ascii="Arial" w:eastAsia="Calibri" w:hAnsi="Arial" w:cs="Arial"/>
          <w:lang w:eastAsia="en-US"/>
        </w:rPr>
      </w:pPr>
    </w:p>
    <w:p w:rsidR="00EB2DE4" w:rsidRPr="00EE6E37" w:rsidRDefault="00EB2DE4" w:rsidP="00EB2DE4">
      <w:pPr>
        <w:numPr>
          <w:ilvl w:val="0"/>
          <w:numId w:val="16"/>
        </w:numPr>
        <w:spacing w:after="200"/>
        <w:contextualSpacing/>
        <w:jc w:val="both"/>
        <w:rPr>
          <w:rFonts w:ascii="Arial" w:eastAsia="Calibri" w:hAnsi="Arial" w:cs="Arial"/>
          <w:lang w:eastAsia="en-US"/>
        </w:rPr>
      </w:pPr>
      <w:r w:rsidRPr="00F50E3F">
        <w:rPr>
          <w:rFonts w:ascii="Arial" w:eastAsia="Calibri" w:hAnsi="Arial" w:cs="Arial"/>
          <w:lang w:eastAsia="en-US"/>
        </w:rPr>
        <w:t>Наименование закупочной процедуры (Лот №)</w:t>
      </w:r>
      <w:r>
        <w:rPr>
          <w:rFonts w:ascii="Arial" w:eastAsia="Calibri" w:hAnsi="Arial" w:cs="Arial"/>
          <w:lang w:eastAsia="en-US"/>
        </w:rPr>
        <w:t>;</w:t>
      </w:r>
    </w:p>
    <w:p w:rsidR="00EB2DE4" w:rsidRDefault="00EB2DE4" w:rsidP="00EB2DE4">
      <w:pPr>
        <w:numPr>
          <w:ilvl w:val="0"/>
          <w:numId w:val="16"/>
        </w:numPr>
        <w:spacing w:after="200"/>
        <w:contextualSpacing/>
        <w:jc w:val="both"/>
        <w:rPr>
          <w:rFonts w:ascii="Arial" w:eastAsia="Calibri" w:hAnsi="Arial" w:cs="Arial"/>
          <w:lang w:eastAsia="en-US"/>
        </w:rPr>
      </w:pPr>
      <w:r w:rsidRPr="00F50E3F">
        <w:rPr>
          <w:rFonts w:ascii="Arial" w:eastAsia="Calibri" w:hAnsi="Arial" w:cs="Arial"/>
          <w:lang w:eastAsia="en-US"/>
        </w:rPr>
        <w:t>Стоимость, предложенная победителем (тыс. рублей без НДС)</w:t>
      </w:r>
      <w:r>
        <w:rPr>
          <w:rFonts w:ascii="Arial" w:eastAsia="Calibri" w:hAnsi="Arial" w:cs="Arial"/>
          <w:lang w:eastAsia="en-US"/>
        </w:rPr>
        <w:t>;</w:t>
      </w:r>
    </w:p>
    <w:p w:rsidR="00EB2DE4" w:rsidRDefault="00EB2DE4" w:rsidP="00EB2DE4">
      <w:pPr>
        <w:numPr>
          <w:ilvl w:val="0"/>
          <w:numId w:val="16"/>
        </w:numPr>
        <w:spacing w:after="200"/>
        <w:contextualSpacing/>
        <w:jc w:val="both"/>
        <w:rPr>
          <w:rFonts w:ascii="Arial" w:eastAsia="Calibri" w:hAnsi="Arial" w:cs="Arial"/>
          <w:lang w:eastAsia="en-US"/>
        </w:rPr>
      </w:pPr>
      <w:r w:rsidRPr="00CA7587">
        <w:rPr>
          <w:rFonts w:ascii="Arial" w:eastAsia="Calibri" w:hAnsi="Arial" w:cs="Arial"/>
          <w:lang w:eastAsia="en-US"/>
        </w:rPr>
        <w:t>Победитель закупочной процедуры (ИНН)</w:t>
      </w:r>
      <w:r>
        <w:rPr>
          <w:rFonts w:ascii="Arial" w:eastAsia="Calibri" w:hAnsi="Arial" w:cs="Arial"/>
          <w:lang w:eastAsia="en-US"/>
        </w:rPr>
        <w:t>;</w:t>
      </w:r>
    </w:p>
    <w:p w:rsidR="00EB2DE4" w:rsidRDefault="00EB2DE4" w:rsidP="00EB2DE4">
      <w:pPr>
        <w:numPr>
          <w:ilvl w:val="0"/>
          <w:numId w:val="16"/>
        </w:numPr>
        <w:spacing w:after="200"/>
        <w:contextualSpacing/>
        <w:jc w:val="both"/>
        <w:rPr>
          <w:rFonts w:ascii="Arial" w:eastAsia="Calibri" w:hAnsi="Arial" w:cs="Arial"/>
          <w:lang w:eastAsia="en-US"/>
        </w:rPr>
      </w:pPr>
      <w:r w:rsidRPr="00CA7587">
        <w:rPr>
          <w:rFonts w:ascii="Arial" w:eastAsia="Calibri" w:hAnsi="Arial" w:cs="Arial"/>
          <w:lang w:eastAsia="en-US"/>
        </w:rPr>
        <w:t>Экспертная оценка победителя в рамках финэкспертизы (от 1 до 5)</w:t>
      </w:r>
      <w:r>
        <w:rPr>
          <w:rFonts w:ascii="Arial" w:eastAsia="Calibri" w:hAnsi="Arial" w:cs="Arial"/>
          <w:lang w:eastAsia="en-US"/>
        </w:rPr>
        <w:t>;</w:t>
      </w:r>
    </w:p>
    <w:p w:rsidR="00EB2DE4" w:rsidRDefault="00EB2DE4" w:rsidP="00EB2DE4">
      <w:pPr>
        <w:numPr>
          <w:ilvl w:val="0"/>
          <w:numId w:val="16"/>
        </w:numPr>
        <w:spacing w:after="200"/>
        <w:contextualSpacing/>
        <w:jc w:val="both"/>
        <w:rPr>
          <w:rFonts w:ascii="Arial" w:eastAsia="Calibri" w:hAnsi="Arial" w:cs="Arial"/>
          <w:lang w:eastAsia="en-US"/>
        </w:rPr>
      </w:pPr>
      <w:r w:rsidRPr="00CA7587">
        <w:rPr>
          <w:rFonts w:ascii="Arial" w:eastAsia="Calibri" w:hAnsi="Arial" w:cs="Arial"/>
          <w:lang w:eastAsia="en-US"/>
        </w:rPr>
        <w:t>Осуществлялись ли экспертные корректировки (да/нет)</w:t>
      </w:r>
      <w:r>
        <w:rPr>
          <w:rFonts w:ascii="Arial" w:eastAsia="Calibri" w:hAnsi="Arial" w:cs="Arial"/>
          <w:lang w:eastAsia="en-US"/>
        </w:rPr>
        <w:t>.</w:t>
      </w:r>
    </w:p>
    <w:p w:rsidR="00EB2DE4" w:rsidRDefault="00EB2DE4" w:rsidP="00EB2DE4">
      <w:pPr>
        <w:spacing w:after="200"/>
        <w:ind w:firstLine="709"/>
        <w:contextualSpacing/>
        <w:jc w:val="both"/>
        <w:rPr>
          <w:rFonts w:ascii="Arial" w:eastAsia="Calibri" w:hAnsi="Arial" w:cs="Arial"/>
          <w:lang w:eastAsia="en-US"/>
        </w:rPr>
      </w:pPr>
    </w:p>
    <w:p w:rsidR="00EB2DE4" w:rsidRPr="00F700AE" w:rsidRDefault="00EB2DE4" w:rsidP="00EB2DE4">
      <w:pPr>
        <w:spacing w:after="200"/>
        <w:ind w:firstLine="709"/>
        <w:contextualSpacing/>
        <w:jc w:val="both"/>
        <w:rPr>
          <w:rFonts w:ascii="Arial" w:eastAsia="Calibri" w:hAnsi="Arial" w:cs="Arial"/>
          <w:lang w:eastAsia="en-US"/>
        </w:rPr>
      </w:pPr>
      <w:r w:rsidRPr="00CA7587">
        <w:rPr>
          <w:rFonts w:ascii="Arial" w:eastAsia="Calibri" w:hAnsi="Arial" w:cs="Arial"/>
          <w:lang w:eastAsia="en-US"/>
        </w:rPr>
        <w:t>При необходимости Финансово-экономическим центром ОАО «</w:t>
      </w:r>
      <w:r>
        <w:rPr>
          <w:rFonts w:ascii="Arial" w:eastAsia="Calibri" w:hAnsi="Arial" w:cs="Arial"/>
          <w:lang w:eastAsia="en-US"/>
        </w:rPr>
        <w:t>Интер РАО</w:t>
      </w:r>
      <w:r w:rsidRPr="00CA7587">
        <w:rPr>
          <w:rFonts w:ascii="Arial" w:eastAsia="Calibri" w:hAnsi="Arial" w:cs="Arial"/>
          <w:lang w:eastAsia="en-US"/>
        </w:rPr>
        <w:t>» может быть запрошена дополнительная информация по проведенным закупочным процедурам</w:t>
      </w:r>
      <w:r>
        <w:rPr>
          <w:rFonts w:ascii="Arial" w:eastAsia="Calibri" w:hAnsi="Arial" w:cs="Arial"/>
          <w:lang w:eastAsia="en-US"/>
        </w:rPr>
        <w:t>.</w:t>
      </w:r>
    </w:p>
    <w:p w:rsidR="00EB2DE4" w:rsidRDefault="00EB2DE4" w:rsidP="00EB2DE4">
      <w:pPr>
        <w:rPr>
          <w:rFonts w:ascii="Arial" w:eastAsia="Calibri" w:hAnsi="Arial" w:cs="Arial"/>
          <w:i/>
          <w:sz w:val="20"/>
          <w:szCs w:val="20"/>
          <w:lang w:eastAsia="en-US"/>
        </w:rPr>
      </w:pPr>
    </w:p>
    <w:p w:rsidR="00EB2DE4" w:rsidRDefault="00EB2DE4" w:rsidP="00EB2DE4">
      <w:pPr>
        <w:jc w:val="both"/>
        <w:rPr>
          <w:rStyle w:val="10"/>
          <w:sz w:val="24"/>
          <w:szCs w:val="24"/>
        </w:rPr>
      </w:pPr>
      <w:r>
        <w:br w:type="page"/>
      </w:r>
      <w:bookmarkStart w:id="113" w:name="_Toc326077661"/>
      <w:bookmarkStart w:id="114" w:name="_Toc370295584"/>
      <w:r>
        <w:rPr>
          <w:rStyle w:val="10"/>
          <w:sz w:val="24"/>
          <w:szCs w:val="24"/>
        </w:rPr>
        <w:lastRenderedPageBreak/>
        <w:t xml:space="preserve">Приложение №2 </w:t>
      </w:r>
      <w:r w:rsidRPr="00D86E0B">
        <w:rPr>
          <w:rStyle w:val="10"/>
          <w:sz w:val="24"/>
          <w:szCs w:val="24"/>
        </w:rPr>
        <w:t>Ф</w:t>
      </w:r>
      <w:r>
        <w:rPr>
          <w:rStyle w:val="10"/>
          <w:sz w:val="24"/>
          <w:szCs w:val="24"/>
        </w:rPr>
        <w:t>ормат заключения</w:t>
      </w:r>
      <w:bookmarkEnd w:id="113"/>
      <w:bookmarkEnd w:id="114"/>
    </w:p>
    <w:p w:rsidR="00EB2DE4" w:rsidRDefault="00AD4761" w:rsidP="00EB2DE4">
      <w:pPr>
        <w:jc w:val="both"/>
        <w:rPr>
          <w:rStyle w:val="10"/>
          <w:b w:val="0"/>
          <w:sz w:val="24"/>
          <w:szCs w:val="24"/>
        </w:rPr>
      </w:pPr>
      <w:r>
        <w:rPr>
          <w:noProof/>
        </w:rPr>
        <w:drawing>
          <wp:inline distT="0" distB="0" distL="0" distR="0">
            <wp:extent cx="5791200" cy="845058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91200" cy="8450580"/>
                    </a:xfrm>
                    <a:prstGeom prst="rect">
                      <a:avLst/>
                    </a:prstGeom>
                    <a:noFill/>
                    <a:ln>
                      <a:noFill/>
                    </a:ln>
                  </pic:spPr>
                </pic:pic>
              </a:graphicData>
            </a:graphic>
          </wp:inline>
        </w:drawing>
      </w:r>
    </w:p>
    <w:p w:rsidR="00EB2DE4" w:rsidRDefault="00AD4761" w:rsidP="00EB2DE4">
      <w:pPr>
        <w:jc w:val="both"/>
        <w:rPr>
          <w:rStyle w:val="10"/>
          <w:b w:val="0"/>
          <w:sz w:val="24"/>
          <w:szCs w:val="24"/>
        </w:rPr>
      </w:pPr>
      <w:r>
        <w:rPr>
          <w:noProof/>
        </w:rPr>
        <w:lastRenderedPageBreak/>
        <w:drawing>
          <wp:inline distT="0" distB="0" distL="0" distR="0">
            <wp:extent cx="5935980" cy="5859780"/>
            <wp:effectExtent l="0" t="0" r="7620" b="762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35980" cy="5859780"/>
                    </a:xfrm>
                    <a:prstGeom prst="rect">
                      <a:avLst/>
                    </a:prstGeom>
                    <a:noFill/>
                    <a:ln>
                      <a:noFill/>
                    </a:ln>
                  </pic:spPr>
                </pic:pic>
              </a:graphicData>
            </a:graphic>
          </wp:inline>
        </w:drawing>
      </w:r>
    </w:p>
    <w:p w:rsidR="00EB2DE4" w:rsidRPr="00973926" w:rsidRDefault="00EB2DE4" w:rsidP="00EB2DE4">
      <w:pPr>
        <w:rPr>
          <w:rFonts w:ascii="Arial" w:hAnsi="Arial" w:cs="Arial"/>
        </w:rPr>
      </w:pPr>
    </w:p>
    <w:p w:rsidR="00EB2DE4" w:rsidRPr="00973926" w:rsidRDefault="00EB2DE4" w:rsidP="00EB2DE4">
      <w:pPr>
        <w:rPr>
          <w:rFonts w:ascii="Arial" w:hAnsi="Arial" w:cs="Arial"/>
        </w:rPr>
      </w:pPr>
    </w:p>
    <w:p w:rsidR="00EB2DE4" w:rsidRPr="00973926" w:rsidRDefault="00EB2DE4" w:rsidP="00EB2DE4">
      <w:pPr>
        <w:rPr>
          <w:rFonts w:ascii="Arial" w:hAnsi="Arial" w:cs="Arial"/>
        </w:rPr>
      </w:pPr>
    </w:p>
    <w:p w:rsidR="00EB2DE4" w:rsidRPr="00973926" w:rsidRDefault="00EB2DE4" w:rsidP="00EB2DE4">
      <w:pPr>
        <w:rPr>
          <w:rFonts w:ascii="Arial" w:hAnsi="Arial" w:cs="Arial"/>
        </w:rPr>
      </w:pPr>
    </w:p>
    <w:p w:rsidR="00EB2DE4" w:rsidRPr="00973926" w:rsidRDefault="00EB2DE4" w:rsidP="00EB2DE4">
      <w:pPr>
        <w:rPr>
          <w:rFonts w:ascii="Arial" w:hAnsi="Arial" w:cs="Arial"/>
        </w:rPr>
      </w:pPr>
    </w:p>
    <w:p w:rsidR="00EB2DE4" w:rsidRPr="00973926" w:rsidRDefault="00EB2DE4" w:rsidP="00EB2DE4">
      <w:pPr>
        <w:rPr>
          <w:rFonts w:ascii="Arial" w:hAnsi="Arial" w:cs="Arial"/>
        </w:rPr>
      </w:pPr>
    </w:p>
    <w:p w:rsidR="00EB2DE4" w:rsidRPr="00973926" w:rsidRDefault="00EB2DE4" w:rsidP="00EB2DE4">
      <w:pPr>
        <w:rPr>
          <w:rFonts w:ascii="Arial" w:hAnsi="Arial" w:cs="Arial"/>
        </w:rPr>
      </w:pPr>
    </w:p>
    <w:p w:rsidR="00EB2DE4" w:rsidRPr="00973926" w:rsidRDefault="00EB2DE4" w:rsidP="00EB2DE4">
      <w:pPr>
        <w:rPr>
          <w:rFonts w:ascii="Arial" w:hAnsi="Arial" w:cs="Arial"/>
        </w:rPr>
      </w:pPr>
    </w:p>
    <w:p w:rsidR="00EB2DE4" w:rsidRDefault="00EB2DE4" w:rsidP="00EB2DE4">
      <w:pPr>
        <w:jc w:val="both"/>
        <w:rPr>
          <w:rFonts w:ascii="Arial" w:hAnsi="Arial" w:cs="Arial"/>
        </w:rPr>
      </w:pPr>
    </w:p>
    <w:p w:rsidR="00EB2DE4" w:rsidRPr="000653D9" w:rsidRDefault="00EB2DE4" w:rsidP="00EB2DE4">
      <w:pPr>
        <w:tabs>
          <w:tab w:val="left" w:pos="5400"/>
        </w:tabs>
        <w:jc w:val="both"/>
        <w:rPr>
          <w:rStyle w:val="af5"/>
          <w:rFonts w:ascii="Arial" w:hAnsi="Arial" w:cs="Arial"/>
        </w:rPr>
      </w:pPr>
      <w:r>
        <w:rPr>
          <w:rFonts w:ascii="Arial" w:hAnsi="Arial" w:cs="Arial"/>
        </w:rPr>
        <w:tab/>
      </w:r>
    </w:p>
    <w:p w:rsidR="00EB2DE4" w:rsidRPr="000653D9" w:rsidRDefault="00EB2DE4" w:rsidP="00EB2DE4">
      <w:pPr>
        <w:rPr>
          <w:rStyle w:val="af5"/>
          <w:rFonts w:ascii="Arial" w:hAnsi="Arial" w:cs="Arial"/>
        </w:rPr>
      </w:pPr>
    </w:p>
    <w:p w:rsidR="00683B18" w:rsidRPr="00EB2DE4" w:rsidRDefault="00683B18" w:rsidP="00EB2DE4">
      <w:pPr>
        <w:rPr>
          <w:rStyle w:val="af5"/>
          <w:i w:val="0"/>
          <w:iCs w:val="0"/>
        </w:rPr>
      </w:pPr>
    </w:p>
    <w:sectPr w:rsidR="00683B18" w:rsidRPr="00EB2DE4" w:rsidSect="00BD591D">
      <w:headerReference w:type="default" r:id="rId35"/>
      <w:footerReference w:type="default" r:id="rId36"/>
      <w:pgSz w:w="11906" w:h="16838"/>
      <w:pgMar w:top="1134" w:right="851" w:bottom="1134" w:left="1418"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60F" w:rsidRDefault="008C660F">
      <w:r>
        <w:separator/>
      </w:r>
    </w:p>
    <w:p w:rsidR="008C660F" w:rsidRDefault="008C660F"/>
  </w:endnote>
  <w:endnote w:type="continuationSeparator" w:id="0">
    <w:p w:rsidR="008C660F" w:rsidRDefault="008C660F">
      <w:r>
        <w:continuationSeparator/>
      </w:r>
    </w:p>
    <w:p w:rsidR="008C660F" w:rsidRDefault="008C660F"/>
  </w:endnote>
  <w:endnote w:type="continuationNotice" w:id="1">
    <w:p w:rsidR="008C660F" w:rsidRDefault="008C6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E4" w:rsidRDefault="00EB2DE4" w:rsidP="00F10AE7">
    <w:pPr>
      <w:pStyle w:val="ae"/>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B2DE4" w:rsidRDefault="00EB2DE4" w:rsidP="007216E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E4" w:rsidRDefault="00EB2DE4" w:rsidP="007216E3">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E4" w:rsidRPr="00311F04" w:rsidRDefault="00EB2DE4" w:rsidP="00C162FA">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874" w:rsidRDefault="002B5874">
    <w:pPr>
      <w:pStyle w:val="ae"/>
      <w:jc w:val="center"/>
    </w:pPr>
    <w:r>
      <w:fldChar w:fldCharType="begin"/>
    </w:r>
    <w:r>
      <w:instrText>PAGE   \* MERGEFORMAT</w:instrText>
    </w:r>
    <w:r>
      <w:fldChar w:fldCharType="separate"/>
    </w:r>
    <w:r w:rsidR="00AD4761">
      <w:rPr>
        <w:noProof/>
      </w:rPr>
      <w:t>2</w:t>
    </w:r>
    <w:r>
      <w:fldChar w:fldCharType="end"/>
    </w:r>
  </w:p>
  <w:p w:rsidR="00775973" w:rsidRDefault="00775973" w:rsidP="007216E3">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60F" w:rsidRDefault="008C660F">
      <w:r>
        <w:separator/>
      </w:r>
    </w:p>
    <w:p w:rsidR="008C660F" w:rsidRDefault="008C660F"/>
  </w:footnote>
  <w:footnote w:type="continuationSeparator" w:id="0">
    <w:p w:rsidR="008C660F" w:rsidRDefault="008C660F">
      <w:r>
        <w:continuationSeparator/>
      </w:r>
    </w:p>
    <w:p w:rsidR="008C660F" w:rsidRDefault="008C660F"/>
  </w:footnote>
  <w:footnote w:type="continuationNotice" w:id="1">
    <w:p w:rsidR="008C660F" w:rsidRDefault="008C66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E4" w:rsidRDefault="00EB2DE4">
    <w:pPr>
      <w:pStyle w:val="ab"/>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EB2DE4" w:rsidRDefault="00EB2DE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5457"/>
      <w:gridCol w:w="1563"/>
    </w:tblGrid>
    <w:tr w:rsidR="00EB2DE4" w:rsidRPr="006154D8" w:rsidTr="009B014D">
      <w:tc>
        <w:tcPr>
          <w:tcW w:w="2448" w:type="dxa"/>
          <w:shd w:val="clear" w:color="auto" w:fill="auto"/>
        </w:tcPr>
        <w:p w:rsidR="00EB2DE4" w:rsidRPr="006154D8" w:rsidRDefault="00EB2DE4" w:rsidP="00C95139">
          <w:pPr>
            <w:pStyle w:val="ab"/>
            <w:rPr>
              <w:rFonts w:ascii="Arial" w:hAnsi="Arial" w:cs="Arial"/>
            </w:rPr>
          </w:pPr>
          <w:r w:rsidRPr="006154D8">
            <w:rPr>
              <w:rFonts w:ascii="Arial" w:hAnsi="Arial" w:cs="Arial"/>
            </w:rPr>
            <w:object w:dxaOrig="2231" w:dyaOrig="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1.6pt;height:26.4pt" o:ole="">
                <v:imagedata r:id="rId1" o:title=""/>
              </v:shape>
              <o:OLEObject Type="Embed" ProgID="CorelDRAW.Graphic.12" ShapeID="_x0000_i1032" DrawAspect="Content" ObjectID="_1519812672" r:id="rId2"/>
            </w:object>
          </w:r>
        </w:p>
      </w:tc>
      <w:tc>
        <w:tcPr>
          <w:tcW w:w="5457" w:type="dxa"/>
          <w:shd w:val="clear" w:color="auto" w:fill="auto"/>
        </w:tcPr>
        <w:p w:rsidR="00EB2DE4" w:rsidRPr="000C275F" w:rsidRDefault="00EB2DE4" w:rsidP="006154D8">
          <w:pPr>
            <w:pStyle w:val="ab"/>
            <w:jc w:val="center"/>
            <w:rPr>
              <w:rFonts w:ascii="Arial" w:hAnsi="Arial" w:cs="Arial"/>
            </w:rPr>
          </w:pPr>
          <w:r w:rsidRPr="009B014D">
            <w:rPr>
              <w:rFonts w:ascii="Arial" w:hAnsi="Arial" w:cs="Arial"/>
            </w:rPr>
            <w:t>Методика проведения экспертизы финансово-экономической устойчивости участников закупочных процедур</w:t>
          </w:r>
        </w:p>
      </w:tc>
      <w:tc>
        <w:tcPr>
          <w:tcW w:w="1563" w:type="dxa"/>
          <w:shd w:val="clear" w:color="auto" w:fill="auto"/>
        </w:tcPr>
        <w:p w:rsidR="00EB2DE4" w:rsidRPr="009B014D" w:rsidRDefault="00EB2DE4" w:rsidP="00F27C85">
          <w:pPr>
            <w:pStyle w:val="ab"/>
            <w:jc w:val="center"/>
            <w:rPr>
              <w:rFonts w:ascii="Arial" w:hAnsi="Arial" w:cs="Arial"/>
            </w:rPr>
          </w:pPr>
          <w:r w:rsidRPr="006154D8">
            <w:rPr>
              <w:rFonts w:ascii="Arial" w:hAnsi="Arial" w:cs="Arial"/>
            </w:rPr>
            <w:t xml:space="preserve">Версия </w:t>
          </w:r>
          <w:r>
            <w:rPr>
              <w:rFonts w:ascii="Arial" w:hAnsi="Arial" w:cs="Arial"/>
            </w:rPr>
            <w:t>1</w:t>
          </w:r>
        </w:p>
      </w:tc>
    </w:tr>
  </w:tbl>
  <w:p w:rsidR="00EB2DE4" w:rsidRPr="000E63C2" w:rsidRDefault="00EB2DE4">
    <w:pPr>
      <w:pStyle w:val="ab"/>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E4" w:rsidRDefault="00EB2DE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5220"/>
      <w:gridCol w:w="1353"/>
    </w:tblGrid>
    <w:tr w:rsidR="00EB2DE4" w:rsidRPr="006154D8" w:rsidTr="00C162FA">
      <w:tc>
        <w:tcPr>
          <w:tcW w:w="2880" w:type="dxa"/>
          <w:shd w:val="clear" w:color="auto" w:fill="auto"/>
          <w:vAlign w:val="center"/>
        </w:tcPr>
        <w:p w:rsidR="00EB2DE4" w:rsidRPr="006154D8" w:rsidRDefault="00AD4761" w:rsidP="006154D8">
          <w:pPr>
            <w:pStyle w:val="ab"/>
            <w:jc w:val="center"/>
            <w:rPr>
              <w:rFonts w:ascii="Arial" w:hAnsi="Arial" w:cs="Arial"/>
            </w:rPr>
          </w:pPr>
          <w:r>
            <w:rPr>
              <w:noProof/>
            </w:rPr>
            <w:drawing>
              <wp:inline distT="0" distB="0" distL="0" distR="0">
                <wp:extent cx="1600200" cy="472440"/>
                <wp:effectExtent l="0" t="0" r="0" b="3810"/>
                <wp:docPr id="12" name="Рисунок 12" descr="Лого УЭ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Лого УЭГ"/>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472440"/>
                        </a:xfrm>
                        <a:prstGeom prst="rect">
                          <a:avLst/>
                        </a:prstGeom>
                        <a:noFill/>
                        <a:ln>
                          <a:noFill/>
                        </a:ln>
                      </pic:spPr>
                    </pic:pic>
                  </a:graphicData>
                </a:graphic>
              </wp:inline>
            </w:drawing>
          </w:r>
        </w:p>
      </w:tc>
      <w:tc>
        <w:tcPr>
          <w:tcW w:w="5220" w:type="dxa"/>
          <w:shd w:val="clear" w:color="auto" w:fill="auto"/>
          <w:vAlign w:val="center"/>
        </w:tcPr>
        <w:p w:rsidR="00EB2DE4" w:rsidRPr="006154D8" w:rsidRDefault="00EB2DE4" w:rsidP="006154D8">
          <w:pPr>
            <w:pStyle w:val="ab"/>
            <w:jc w:val="center"/>
            <w:rPr>
              <w:rFonts w:ascii="Arial" w:hAnsi="Arial" w:cs="Arial"/>
            </w:rPr>
          </w:pPr>
          <w:r w:rsidRPr="009B014D">
            <w:rPr>
              <w:rFonts w:ascii="Arial" w:hAnsi="Arial" w:cs="Arial"/>
            </w:rPr>
            <w:t>Методика проведения экспертизы финансово-экономической устойчивости участников закупочных процедур</w:t>
          </w:r>
        </w:p>
      </w:tc>
      <w:tc>
        <w:tcPr>
          <w:tcW w:w="1353" w:type="dxa"/>
          <w:shd w:val="clear" w:color="auto" w:fill="auto"/>
          <w:vAlign w:val="center"/>
        </w:tcPr>
        <w:p w:rsidR="00EB2DE4" w:rsidRPr="00664C8C" w:rsidRDefault="00EB2DE4" w:rsidP="00AE05F3">
          <w:pPr>
            <w:pStyle w:val="ab"/>
            <w:jc w:val="center"/>
            <w:rPr>
              <w:rFonts w:ascii="Arial" w:hAnsi="Arial" w:cs="Arial"/>
            </w:rPr>
          </w:pPr>
          <w:r w:rsidRPr="006154D8">
            <w:rPr>
              <w:rFonts w:ascii="Arial" w:hAnsi="Arial" w:cs="Arial"/>
            </w:rPr>
            <w:t xml:space="preserve">Версия </w:t>
          </w:r>
          <w:r>
            <w:rPr>
              <w:rFonts w:ascii="Arial" w:hAnsi="Arial" w:cs="Arial"/>
            </w:rPr>
            <w:t>1</w:t>
          </w:r>
        </w:p>
      </w:tc>
    </w:tr>
  </w:tbl>
  <w:p w:rsidR="00EB2DE4" w:rsidRDefault="00EB2DE4">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gridCol w:w="2082"/>
    </w:tblGrid>
    <w:tr w:rsidR="00BD591D" w:rsidRPr="006154D8" w:rsidTr="008B176A">
      <w:tc>
        <w:tcPr>
          <w:tcW w:w="2835" w:type="dxa"/>
          <w:shd w:val="clear" w:color="auto" w:fill="auto"/>
          <w:vAlign w:val="center"/>
        </w:tcPr>
        <w:p w:rsidR="00BD591D" w:rsidRPr="006154D8" w:rsidRDefault="00AD4761" w:rsidP="008B176A">
          <w:pPr>
            <w:pStyle w:val="ab"/>
            <w:jc w:val="center"/>
            <w:rPr>
              <w:rFonts w:ascii="Arial" w:hAnsi="Arial" w:cs="Arial"/>
            </w:rPr>
          </w:pPr>
          <w:r>
            <w:rPr>
              <w:noProof/>
            </w:rPr>
            <w:drawing>
              <wp:inline distT="0" distB="0" distL="0" distR="0">
                <wp:extent cx="1600200" cy="472440"/>
                <wp:effectExtent l="0" t="0" r="0" b="3810"/>
                <wp:docPr id="13" name="Рисунок 13" descr="Лого УЭ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Лого УЭГ"/>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472440"/>
                        </a:xfrm>
                        <a:prstGeom prst="rect">
                          <a:avLst/>
                        </a:prstGeom>
                        <a:noFill/>
                        <a:ln>
                          <a:noFill/>
                        </a:ln>
                      </pic:spPr>
                    </pic:pic>
                  </a:graphicData>
                </a:graphic>
              </wp:inline>
            </w:drawing>
          </w:r>
        </w:p>
      </w:tc>
      <w:tc>
        <w:tcPr>
          <w:tcW w:w="5103" w:type="dxa"/>
          <w:shd w:val="clear" w:color="auto" w:fill="auto"/>
          <w:vAlign w:val="center"/>
        </w:tcPr>
        <w:p w:rsidR="00BD591D" w:rsidRPr="006154D8" w:rsidRDefault="00BD591D" w:rsidP="008B176A">
          <w:pPr>
            <w:pStyle w:val="ab"/>
            <w:jc w:val="center"/>
            <w:rPr>
              <w:rFonts w:ascii="Arial" w:hAnsi="Arial" w:cs="Arial"/>
            </w:rPr>
          </w:pPr>
          <w:r w:rsidRPr="009B014D">
            <w:rPr>
              <w:rFonts w:ascii="Arial" w:hAnsi="Arial" w:cs="Arial"/>
            </w:rPr>
            <w:t>Методика проведения экспертизы финансово-экономической устойчивости участников закупочных процедур</w:t>
          </w:r>
        </w:p>
      </w:tc>
      <w:tc>
        <w:tcPr>
          <w:tcW w:w="2082" w:type="dxa"/>
          <w:shd w:val="clear" w:color="auto" w:fill="auto"/>
          <w:vAlign w:val="center"/>
        </w:tcPr>
        <w:p w:rsidR="00BD591D" w:rsidRPr="00664C8C" w:rsidRDefault="00BD591D" w:rsidP="008B176A">
          <w:pPr>
            <w:pStyle w:val="ab"/>
            <w:jc w:val="center"/>
            <w:rPr>
              <w:rFonts w:ascii="Arial" w:hAnsi="Arial" w:cs="Arial"/>
            </w:rPr>
          </w:pPr>
          <w:r w:rsidRPr="006154D8">
            <w:rPr>
              <w:rFonts w:ascii="Arial" w:hAnsi="Arial" w:cs="Arial"/>
            </w:rPr>
            <w:t xml:space="preserve">Версия </w:t>
          </w:r>
          <w:r>
            <w:rPr>
              <w:rFonts w:ascii="Arial" w:hAnsi="Arial" w:cs="Arial"/>
            </w:rPr>
            <w:t>1</w:t>
          </w:r>
        </w:p>
      </w:tc>
    </w:tr>
  </w:tbl>
  <w:p w:rsidR="00775973" w:rsidRDefault="0077597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028DD"/>
    <w:multiLevelType w:val="hybridMultilevel"/>
    <w:tmpl w:val="BBBCCA3E"/>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EF08C8"/>
    <w:multiLevelType w:val="hybridMultilevel"/>
    <w:tmpl w:val="7172897E"/>
    <w:lvl w:ilvl="0" w:tplc="06567864">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3">
    <w:nsid w:val="254A4B48"/>
    <w:multiLevelType w:val="hybridMultilevel"/>
    <w:tmpl w:val="A75035F6"/>
    <w:lvl w:ilvl="0" w:tplc="06567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9F3A09"/>
    <w:multiLevelType w:val="hybridMultilevel"/>
    <w:tmpl w:val="E236E764"/>
    <w:lvl w:ilvl="0" w:tplc="0656786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2A0631B"/>
    <w:multiLevelType w:val="hybridMultilevel"/>
    <w:tmpl w:val="BAAC0088"/>
    <w:lvl w:ilvl="0" w:tplc="06567864">
      <w:start w:val="1"/>
      <w:numFmt w:val="bullet"/>
      <w:lvlText w:val=""/>
      <w:lvlJc w:val="left"/>
      <w:pPr>
        <w:ind w:left="1040" w:hanging="360"/>
      </w:pPr>
      <w:rPr>
        <w:rFonts w:ascii="Symbol" w:hAnsi="Symbol"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6">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A116FB"/>
    <w:multiLevelType w:val="hybridMultilevel"/>
    <w:tmpl w:val="A8426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F55075"/>
    <w:multiLevelType w:val="multilevel"/>
    <w:tmpl w:val="97F4DEB0"/>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18B0321"/>
    <w:multiLevelType w:val="hybridMultilevel"/>
    <w:tmpl w:val="91A02DC6"/>
    <w:lvl w:ilvl="0" w:tplc="06567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27E6699"/>
    <w:multiLevelType w:val="hybridMultilevel"/>
    <w:tmpl w:val="2414972C"/>
    <w:lvl w:ilvl="0" w:tplc="06567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959061E"/>
    <w:multiLevelType w:val="hybridMultilevel"/>
    <w:tmpl w:val="BF8E2012"/>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8E151F8"/>
    <w:multiLevelType w:val="hybridMultilevel"/>
    <w:tmpl w:val="9A342760"/>
    <w:lvl w:ilvl="0" w:tplc="0656786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DC86E34"/>
    <w:multiLevelType w:val="hybridMultilevel"/>
    <w:tmpl w:val="389ABBC8"/>
    <w:lvl w:ilvl="0" w:tplc="0656786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FC47121"/>
    <w:multiLevelType w:val="hybridMultilevel"/>
    <w:tmpl w:val="68AC2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02C0AB3"/>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1BA2D05"/>
    <w:multiLevelType w:val="hybridMultilevel"/>
    <w:tmpl w:val="8C4CD288"/>
    <w:lvl w:ilvl="0" w:tplc="0656786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72AC7E8B"/>
    <w:multiLevelType w:val="hybridMultilevel"/>
    <w:tmpl w:val="4DB2FD66"/>
    <w:lvl w:ilvl="0" w:tplc="0656786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7681F0D"/>
    <w:multiLevelType w:val="multilevel"/>
    <w:tmpl w:val="075A484A"/>
    <w:lvl w:ilvl="0">
      <w:start w:val="1"/>
      <w:numFmt w:val="decimal"/>
      <w:pStyle w:val="116"/>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4"/>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9"/>
  </w:num>
  <w:num w:numId="2">
    <w:abstractNumId w:val="18"/>
  </w:num>
  <w:num w:numId="3">
    <w:abstractNumId w:val="12"/>
  </w:num>
  <w:num w:numId="4">
    <w:abstractNumId w:val="5"/>
  </w:num>
  <w:num w:numId="5">
    <w:abstractNumId w:val="11"/>
  </w:num>
  <w:num w:numId="6">
    <w:abstractNumId w:val="9"/>
  </w:num>
  <w:num w:numId="7">
    <w:abstractNumId w:val="3"/>
  </w:num>
  <w:num w:numId="8">
    <w:abstractNumId w:val="16"/>
  </w:num>
  <w:num w:numId="9">
    <w:abstractNumId w:val="13"/>
  </w:num>
  <w:num w:numId="10">
    <w:abstractNumId w:val="14"/>
  </w:num>
  <w:num w:numId="11">
    <w:abstractNumId w:val="4"/>
  </w:num>
  <w:num w:numId="12">
    <w:abstractNumId w:val="17"/>
  </w:num>
  <w:num w:numId="13">
    <w:abstractNumId w:val="7"/>
  </w:num>
  <w:num w:numId="14">
    <w:abstractNumId w:val="2"/>
  </w:num>
  <w:num w:numId="15">
    <w:abstractNumId w:val="8"/>
  </w:num>
  <w:num w:numId="16">
    <w:abstractNumId w:val="10"/>
  </w:num>
  <w:num w:numId="17">
    <w:abstractNumId w:val="1"/>
  </w:num>
  <w:num w:numId="18">
    <w:abstractNumId w:val="0"/>
  </w:num>
  <w:num w:numId="19">
    <w:abstractNumId w:val="6"/>
  </w:num>
  <w:num w:numId="2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438"/>
    <w:rsid w:val="000005D1"/>
    <w:rsid w:val="00000FBF"/>
    <w:rsid w:val="00001987"/>
    <w:rsid w:val="00001B50"/>
    <w:rsid w:val="0000224D"/>
    <w:rsid w:val="000029CD"/>
    <w:rsid w:val="00002FA5"/>
    <w:rsid w:val="00003394"/>
    <w:rsid w:val="000040E0"/>
    <w:rsid w:val="0000517D"/>
    <w:rsid w:val="0000648A"/>
    <w:rsid w:val="0000727A"/>
    <w:rsid w:val="0000733C"/>
    <w:rsid w:val="0000764B"/>
    <w:rsid w:val="00010388"/>
    <w:rsid w:val="000104C3"/>
    <w:rsid w:val="00010FAA"/>
    <w:rsid w:val="00011365"/>
    <w:rsid w:val="0001137D"/>
    <w:rsid w:val="00011FED"/>
    <w:rsid w:val="000126C9"/>
    <w:rsid w:val="00014808"/>
    <w:rsid w:val="00015895"/>
    <w:rsid w:val="000158F5"/>
    <w:rsid w:val="00015D18"/>
    <w:rsid w:val="00015E63"/>
    <w:rsid w:val="00015EF1"/>
    <w:rsid w:val="00016B26"/>
    <w:rsid w:val="00016B8D"/>
    <w:rsid w:val="00017AEF"/>
    <w:rsid w:val="00021134"/>
    <w:rsid w:val="00021DC5"/>
    <w:rsid w:val="00021F08"/>
    <w:rsid w:val="00022AE1"/>
    <w:rsid w:val="0002317A"/>
    <w:rsid w:val="00023D8B"/>
    <w:rsid w:val="000251C1"/>
    <w:rsid w:val="0002523C"/>
    <w:rsid w:val="00027138"/>
    <w:rsid w:val="00027993"/>
    <w:rsid w:val="0003054D"/>
    <w:rsid w:val="00030988"/>
    <w:rsid w:val="0003729F"/>
    <w:rsid w:val="0003756C"/>
    <w:rsid w:val="00040831"/>
    <w:rsid w:val="00040ABA"/>
    <w:rsid w:val="00040C81"/>
    <w:rsid w:val="000420A5"/>
    <w:rsid w:val="000421D4"/>
    <w:rsid w:val="00042A3A"/>
    <w:rsid w:val="00044272"/>
    <w:rsid w:val="000450E8"/>
    <w:rsid w:val="00045582"/>
    <w:rsid w:val="000468A8"/>
    <w:rsid w:val="00050A89"/>
    <w:rsid w:val="00050B73"/>
    <w:rsid w:val="0005118F"/>
    <w:rsid w:val="00051443"/>
    <w:rsid w:val="000514C4"/>
    <w:rsid w:val="000526A4"/>
    <w:rsid w:val="0005314D"/>
    <w:rsid w:val="00053944"/>
    <w:rsid w:val="000540C1"/>
    <w:rsid w:val="0005478E"/>
    <w:rsid w:val="00055253"/>
    <w:rsid w:val="00056A51"/>
    <w:rsid w:val="00057C48"/>
    <w:rsid w:val="0006012A"/>
    <w:rsid w:val="00060957"/>
    <w:rsid w:val="00061042"/>
    <w:rsid w:val="000616CA"/>
    <w:rsid w:val="00061A16"/>
    <w:rsid w:val="00063155"/>
    <w:rsid w:val="000653D9"/>
    <w:rsid w:val="000654A0"/>
    <w:rsid w:val="000655CF"/>
    <w:rsid w:val="00065BD5"/>
    <w:rsid w:val="00065F03"/>
    <w:rsid w:val="00066126"/>
    <w:rsid w:val="00066E62"/>
    <w:rsid w:val="00067808"/>
    <w:rsid w:val="00067DF4"/>
    <w:rsid w:val="0007002B"/>
    <w:rsid w:val="0007117B"/>
    <w:rsid w:val="0007154C"/>
    <w:rsid w:val="0007255E"/>
    <w:rsid w:val="00072613"/>
    <w:rsid w:val="00073B45"/>
    <w:rsid w:val="00074A61"/>
    <w:rsid w:val="00075696"/>
    <w:rsid w:val="00075DBD"/>
    <w:rsid w:val="000761A3"/>
    <w:rsid w:val="0007658D"/>
    <w:rsid w:val="00080ED8"/>
    <w:rsid w:val="00081586"/>
    <w:rsid w:val="000827B2"/>
    <w:rsid w:val="000829D1"/>
    <w:rsid w:val="00082E63"/>
    <w:rsid w:val="00085542"/>
    <w:rsid w:val="000857BA"/>
    <w:rsid w:val="00085CC9"/>
    <w:rsid w:val="00086A4E"/>
    <w:rsid w:val="0008746F"/>
    <w:rsid w:val="00090805"/>
    <w:rsid w:val="00090A2E"/>
    <w:rsid w:val="0009262A"/>
    <w:rsid w:val="00093101"/>
    <w:rsid w:val="00093C55"/>
    <w:rsid w:val="00094370"/>
    <w:rsid w:val="000945F3"/>
    <w:rsid w:val="000958BA"/>
    <w:rsid w:val="00096903"/>
    <w:rsid w:val="00096E03"/>
    <w:rsid w:val="00097053"/>
    <w:rsid w:val="000974F4"/>
    <w:rsid w:val="0009753E"/>
    <w:rsid w:val="000A1C16"/>
    <w:rsid w:val="000A2F7D"/>
    <w:rsid w:val="000A47E1"/>
    <w:rsid w:val="000A4D4A"/>
    <w:rsid w:val="000A511F"/>
    <w:rsid w:val="000A5DFF"/>
    <w:rsid w:val="000A5FB1"/>
    <w:rsid w:val="000A7AFE"/>
    <w:rsid w:val="000B0CA1"/>
    <w:rsid w:val="000B244D"/>
    <w:rsid w:val="000B35C5"/>
    <w:rsid w:val="000B420A"/>
    <w:rsid w:val="000B4212"/>
    <w:rsid w:val="000B4F81"/>
    <w:rsid w:val="000B5E4C"/>
    <w:rsid w:val="000B747E"/>
    <w:rsid w:val="000C0FB4"/>
    <w:rsid w:val="000C275F"/>
    <w:rsid w:val="000C31B1"/>
    <w:rsid w:val="000C32C7"/>
    <w:rsid w:val="000C59D1"/>
    <w:rsid w:val="000C5A75"/>
    <w:rsid w:val="000C674A"/>
    <w:rsid w:val="000C7E9C"/>
    <w:rsid w:val="000D19C4"/>
    <w:rsid w:val="000D1B6E"/>
    <w:rsid w:val="000D322E"/>
    <w:rsid w:val="000D325C"/>
    <w:rsid w:val="000D33A1"/>
    <w:rsid w:val="000D43DE"/>
    <w:rsid w:val="000D4A96"/>
    <w:rsid w:val="000D4C86"/>
    <w:rsid w:val="000D4CE8"/>
    <w:rsid w:val="000D551B"/>
    <w:rsid w:val="000D6A12"/>
    <w:rsid w:val="000D70E3"/>
    <w:rsid w:val="000D713B"/>
    <w:rsid w:val="000E0C74"/>
    <w:rsid w:val="000E1D5B"/>
    <w:rsid w:val="000E1F15"/>
    <w:rsid w:val="000E22EA"/>
    <w:rsid w:val="000E2762"/>
    <w:rsid w:val="000E2AD0"/>
    <w:rsid w:val="000E31D9"/>
    <w:rsid w:val="000E3FC3"/>
    <w:rsid w:val="000E42B3"/>
    <w:rsid w:val="000E452B"/>
    <w:rsid w:val="000E5388"/>
    <w:rsid w:val="000E63C2"/>
    <w:rsid w:val="000E6B74"/>
    <w:rsid w:val="000F0753"/>
    <w:rsid w:val="000F4670"/>
    <w:rsid w:val="000F5891"/>
    <w:rsid w:val="000F6B45"/>
    <w:rsid w:val="00101188"/>
    <w:rsid w:val="00102190"/>
    <w:rsid w:val="001042AD"/>
    <w:rsid w:val="0010476E"/>
    <w:rsid w:val="00104B42"/>
    <w:rsid w:val="00104E32"/>
    <w:rsid w:val="001051F2"/>
    <w:rsid w:val="00105F51"/>
    <w:rsid w:val="0010607D"/>
    <w:rsid w:val="001061FE"/>
    <w:rsid w:val="00106BBA"/>
    <w:rsid w:val="0011050B"/>
    <w:rsid w:val="00111318"/>
    <w:rsid w:val="0011205E"/>
    <w:rsid w:val="001120F2"/>
    <w:rsid w:val="001122D8"/>
    <w:rsid w:val="00113037"/>
    <w:rsid w:val="00113216"/>
    <w:rsid w:val="0011407A"/>
    <w:rsid w:val="001149C8"/>
    <w:rsid w:val="00114DEF"/>
    <w:rsid w:val="00115E56"/>
    <w:rsid w:val="001160D6"/>
    <w:rsid w:val="0011663C"/>
    <w:rsid w:val="001211A7"/>
    <w:rsid w:val="00122A1F"/>
    <w:rsid w:val="00122E5E"/>
    <w:rsid w:val="0012374E"/>
    <w:rsid w:val="00123D20"/>
    <w:rsid w:val="00124B57"/>
    <w:rsid w:val="00125000"/>
    <w:rsid w:val="001250CC"/>
    <w:rsid w:val="001272B1"/>
    <w:rsid w:val="001273A3"/>
    <w:rsid w:val="0012769E"/>
    <w:rsid w:val="0012791F"/>
    <w:rsid w:val="001300C3"/>
    <w:rsid w:val="001300E5"/>
    <w:rsid w:val="001303CF"/>
    <w:rsid w:val="0013090E"/>
    <w:rsid w:val="00131764"/>
    <w:rsid w:val="00131802"/>
    <w:rsid w:val="0013221C"/>
    <w:rsid w:val="0013429F"/>
    <w:rsid w:val="001342BF"/>
    <w:rsid w:val="00135687"/>
    <w:rsid w:val="00135F77"/>
    <w:rsid w:val="001369AF"/>
    <w:rsid w:val="0013752C"/>
    <w:rsid w:val="00137D46"/>
    <w:rsid w:val="0014057E"/>
    <w:rsid w:val="00141B85"/>
    <w:rsid w:val="001424C6"/>
    <w:rsid w:val="00142E15"/>
    <w:rsid w:val="00143307"/>
    <w:rsid w:val="00144C2F"/>
    <w:rsid w:val="001454CA"/>
    <w:rsid w:val="00145654"/>
    <w:rsid w:val="00146232"/>
    <w:rsid w:val="00147260"/>
    <w:rsid w:val="001472FF"/>
    <w:rsid w:val="001477F7"/>
    <w:rsid w:val="00150B36"/>
    <w:rsid w:val="00150E39"/>
    <w:rsid w:val="00151B21"/>
    <w:rsid w:val="0015248C"/>
    <w:rsid w:val="00153A49"/>
    <w:rsid w:val="00154F55"/>
    <w:rsid w:val="00156051"/>
    <w:rsid w:val="00156D50"/>
    <w:rsid w:val="00156D69"/>
    <w:rsid w:val="001570EE"/>
    <w:rsid w:val="00160298"/>
    <w:rsid w:val="0016099A"/>
    <w:rsid w:val="00162FC0"/>
    <w:rsid w:val="00165DA3"/>
    <w:rsid w:val="001673B9"/>
    <w:rsid w:val="00167476"/>
    <w:rsid w:val="00170188"/>
    <w:rsid w:val="00170729"/>
    <w:rsid w:val="00172486"/>
    <w:rsid w:val="001728B5"/>
    <w:rsid w:val="001733C8"/>
    <w:rsid w:val="001748D8"/>
    <w:rsid w:val="00174A84"/>
    <w:rsid w:val="00175FB8"/>
    <w:rsid w:val="001761B2"/>
    <w:rsid w:val="001762EA"/>
    <w:rsid w:val="00177EBF"/>
    <w:rsid w:val="001807F1"/>
    <w:rsid w:val="0018103F"/>
    <w:rsid w:val="001810A1"/>
    <w:rsid w:val="001819D2"/>
    <w:rsid w:val="00181BC5"/>
    <w:rsid w:val="00183AB9"/>
    <w:rsid w:val="00184344"/>
    <w:rsid w:val="0018502F"/>
    <w:rsid w:val="00185BB8"/>
    <w:rsid w:val="00185E9A"/>
    <w:rsid w:val="00186B35"/>
    <w:rsid w:val="001907BF"/>
    <w:rsid w:val="00191A77"/>
    <w:rsid w:val="001926E9"/>
    <w:rsid w:val="00192869"/>
    <w:rsid w:val="00192970"/>
    <w:rsid w:val="00192AB9"/>
    <w:rsid w:val="00192D5F"/>
    <w:rsid w:val="0019504C"/>
    <w:rsid w:val="00195593"/>
    <w:rsid w:val="001955F0"/>
    <w:rsid w:val="00196137"/>
    <w:rsid w:val="001966C1"/>
    <w:rsid w:val="001973F7"/>
    <w:rsid w:val="0019746F"/>
    <w:rsid w:val="001A0727"/>
    <w:rsid w:val="001A1148"/>
    <w:rsid w:val="001A373B"/>
    <w:rsid w:val="001A4BAD"/>
    <w:rsid w:val="001A5512"/>
    <w:rsid w:val="001A72FF"/>
    <w:rsid w:val="001B272C"/>
    <w:rsid w:val="001B31D3"/>
    <w:rsid w:val="001B3689"/>
    <w:rsid w:val="001B399B"/>
    <w:rsid w:val="001B3CC3"/>
    <w:rsid w:val="001B651E"/>
    <w:rsid w:val="001B6D0C"/>
    <w:rsid w:val="001B7BBB"/>
    <w:rsid w:val="001B7D1F"/>
    <w:rsid w:val="001C066C"/>
    <w:rsid w:val="001C08D9"/>
    <w:rsid w:val="001C0D8A"/>
    <w:rsid w:val="001C20FF"/>
    <w:rsid w:val="001C287B"/>
    <w:rsid w:val="001C2D28"/>
    <w:rsid w:val="001C31DB"/>
    <w:rsid w:val="001C3422"/>
    <w:rsid w:val="001C43D5"/>
    <w:rsid w:val="001C7B52"/>
    <w:rsid w:val="001D0871"/>
    <w:rsid w:val="001D08F4"/>
    <w:rsid w:val="001D10F0"/>
    <w:rsid w:val="001D2440"/>
    <w:rsid w:val="001D2E48"/>
    <w:rsid w:val="001D320A"/>
    <w:rsid w:val="001D36C3"/>
    <w:rsid w:val="001D36EB"/>
    <w:rsid w:val="001D3C8E"/>
    <w:rsid w:val="001D4A39"/>
    <w:rsid w:val="001D5838"/>
    <w:rsid w:val="001D71DA"/>
    <w:rsid w:val="001D7C1A"/>
    <w:rsid w:val="001E0963"/>
    <w:rsid w:val="001E1D2F"/>
    <w:rsid w:val="001E1D55"/>
    <w:rsid w:val="001E2639"/>
    <w:rsid w:val="001E2D1F"/>
    <w:rsid w:val="001E379C"/>
    <w:rsid w:val="001E48DE"/>
    <w:rsid w:val="001E51C6"/>
    <w:rsid w:val="001E5BD2"/>
    <w:rsid w:val="001E6759"/>
    <w:rsid w:val="001E74CD"/>
    <w:rsid w:val="001E7F36"/>
    <w:rsid w:val="001F13D5"/>
    <w:rsid w:val="001F3247"/>
    <w:rsid w:val="001F37A8"/>
    <w:rsid w:val="001F3CC9"/>
    <w:rsid w:val="001F4261"/>
    <w:rsid w:val="001F4B7E"/>
    <w:rsid w:val="001F50EE"/>
    <w:rsid w:val="001F6FC9"/>
    <w:rsid w:val="002004DE"/>
    <w:rsid w:val="00200F84"/>
    <w:rsid w:val="002015D2"/>
    <w:rsid w:val="00202A77"/>
    <w:rsid w:val="00202B7D"/>
    <w:rsid w:val="002045C5"/>
    <w:rsid w:val="002059F8"/>
    <w:rsid w:val="00207799"/>
    <w:rsid w:val="00210CFB"/>
    <w:rsid w:val="002113A3"/>
    <w:rsid w:val="00211ADA"/>
    <w:rsid w:val="002149A1"/>
    <w:rsid w:val="00214ED7"/>
    <w:rsid w:val="00216248"/>
    <w:rsid w:val="00216D2B"/>
    <w:rsid w:val="00216D4B"/>
    <w:rsid w:val="00216F65"/>
    <w:rsid w:val="002207A4"/>
    <w:rsid w:val="00220DB2"/>
    <w:rsid w:val="00222947"/>
    <w:rsid w:val="00222D7D"/>
    <w:rsid w:val="00224604"/>
    <w:rsid w:val="00224EB3"/>
    <w:rsid w:val="00226CA6"/>
    <w:rsid w:val="002270CB"/>
    <w:rsid w:val="002303FD"/>
    <w:rsid w:val="00230612"/>
    <w:rsid w:val="00233237"/>
    <w:rsid w:val="00233BB4"/>
    <w:rsid w:val="002344FC"/>
    <w:rsid w:val="00234DA1"/>
    <w:rsid w:val="002352D3"/>
    <w:rsid w:val="00235DA0"/>
    <w:rsid w:val="002365D3"/>
    <w:rsid w:val="002415B9"/>
    <w:rsid w:val="002419F1"/>
    <w:rsid w:val="00241DF9"/>
    <w:rsid w:val="002420D6"/>
    <w:rsid w:val="00242820"/>
    <w:rsid w:val="00242CF9"/>
    <w:rsid w:val="0024333F"/>
    <w:rsid w:val="002433A8"/>
    <w:rsid w:val="0024360D"/>
    <w:rsid w:val="00244285"/>
    <w:rsid w:val="00244E9F"/>
    <w:rsid w:val="00246963"/>
    <w:rsid w:val="00246CF1"/>
    <w:rsid w:val="00247690"/>
    <w:rsid w:val="00250A33"/>
    <w:rsid w:val="00251148"/>
    <w:rsid w:val="002521BF"/>
    <w:rsid w:val="002521DC"/>
    <w:rsid w:val="002521EA"/>
    <w:rsid w:val="002542CA"/>
    <w:rsid w:val="002554CE"/>
    <w:rsid w:val="00256251"/>
    <w:rsid w:val="002570F3"/>
    <w:rsid w:val="00257B60"/>
    <w:rsid w:val="00260850"/>
    <w:rsid w:val="0026111C"/>
    <w:rsid w:val="00262468"/>
    <w:rsid w:val="00262D65"/>
    <w:rsid w:val="00263527"/>
    <w:rsid w:val="00264E68"/>
    <w:rsid w:val="00265206"/>
    <w:rsid w:val="00265673"/>
    <w:rsid w:val="00270004"/>
    <w:rsid w:val="00273930"/>
    <w:rsid w:val="00273E3C"/>
    <w:rsid w:val="0027407B"/>
    <w:rsid w:val="00274314"/>
    <w:rsid w:val="00274A83"/>
    <w:rsid w:val="00277196"/>
    <w:rsid w:val="002776A0"/>
    <w:rsid w:val="00277E16"/>
    <w:rsid w:val="00277FCB"/>
    <w:rsid w:val="00282181"/>
    <w:rsid w:val="00282530"/>
    <w:rsid w:val="00282F05"/>
    <w:rsid w:val="00283893"/>
    <w:rsid w:val="002862DA"/>
    <w:rsid w:val="00286EF3"/>
    <w:rsid w:val="0029129C"/>
    <w:rsid w:val="0029153F"/>
    <w:rsid w:val="002934A3"/>
    <w:rsid w:val="002935AD"/>
    <w:rsid w:val="002935F5"/>
    <w:rsid w:val="00293DC7"/>
    <w:rsid w:val="00293DF2"/>
    <w:rsid w:val="002944BE"/>
    <w:rsid w:val="00294589"/>
    <w:rsid w:val="002947A4"/>
    <w:rsid w:val="00294FA1"/>
    <w:rsid w:val="00295874"/>
    <w:rsid w:val="002964E0"/>
    <w:rsid w:val="00296714"/>
    <w:rsid w:val="00297E9A"/>
    <w:rsid w:val="002A0CE9"/>
    <w:rsid w:val="002A168C"/>
    <w:rsid w:val="002A1F03"/>
    <w:rsid w:val="002A3C13"/>
    <w:rsid w:val="002A3DD9"/>
    <w:rsid w:val="002A43F4"/>
    <w:rsid w:val="002A54E8"/>
    <w:rsid w:val="002A6D32"/>
    <w:rsid w:val="002B0892"/>
    <w:rsid w:val="002B17CE"/>
    <w:rsid w:val="002B2C0F"/>
    <w:rsid w:val="002B4231"/>
    <w:rsid w:val="002B5874"/>
    <w:rsid w:val="002B6097"/>
    <w:rsid w:val="002B64C3"/>
    <w:rsid w:val="002B758D"/>
    <w:rsid w:val="002C0581"/>
    <w:rsid w:val="002C0B10"/>
    <w:rsid w:val="002C1913"/>
    <w:rsid w:val="002C2797"/>
    <w:rsid w:val="002C2DA4"/>
    <w:rsid w:val="002C375D"/>
    <w:rsid w:val="002C37A5"/>
    <w:rsid w:val="002C4798"/>
    <w:rsid w:val="002C55DA"/>
    <w:rsid w:val="002C5D6C"/>
    <w:rsid w:val="002C5D83"/>
    <w:rsid w:val="002C7DD5"/>
    <w:rsid w:val="002D0F32"/>
    <w:rsid w:val="002D111B"/>
    <w:rsid w:val="002D1239"/>
    <w:rsid w:val="002D1A42"/>
    <w:rsid w:val="002D1C1D"/>
    <w:rsid w:val="002D1F87"/>
    <w:rsid w:val="002D2782"/>
    <w:rsid w:val="002D3847"/>
    <w:rsid w:val="002D55BB"/>
    <w:rsid w:val="002D57E3"/>
    <w:rsid w:val="002D661D"/>
    <w:rsid w:val="002E03C4"/>
    <w:rsid w:val="002E0F10"/>
    <w:rsid w:val="002E12BA"/>
    <w:rsid w:val="002E3547"/>
    <w:rsid w:val="002E3B38"/>
    <w:rsid w:val="002E50CB"/>
    <w:rsid w:val="002F08A0"/>
    <w:rsid w:val="002F1083"/>
    <w:rsid w:val="002F1B33"/>
    <w:rsid w:val="002F1CC7"/>
    <w:rsid w:val="002F296F"/>
    <w:rsid w:val="002F3F9E"/>
    <w:rsid w:val="002F4243"/>
    <w:rsid w:val="002F5658"/>
    <w:rsid w:val="002F5F27"/>
    <w:rsid w:val="002F634A"/>
    <w:rsid w:val="002F65A8"/>
    <w:rsid w:val="002F6DFF"/>
    <w:rsid w:val="002F6E8A"/>
    <w:rsid w:val="002F76A5"/>
    <w:rsid w:val="002F7D80"/>
    <w:rsid w:val="00300685"/>
    <w:rsid w:val="003015CA"/>
    <w:rsid w:val="0030160C"/>
    <w:rsid w:val="0030182A"/>
    <w:rsid w:val="003020AC"/>
    <w:rsid w:val="003022E0"/>
    <w:rsid w:val="00302D9B"/>
    <w:rsid w:val="00302E98"/>
    <w:rsid w:val="00303E01"/>
    <w:rsid w:val="0030415C"/>
    <w:rsid w:val="00304361"/>
    <w:rsid w:val="0031188F"/>
    <w:rsid w:val="00313F62"/>
    <w:rsid w:val="00315EE8"/>
    <w:rsid w:val="0031618C"/>
    <w:rsid w:val="0031660C"/>
    <w:rsid w:val="00316E91"/>
    <w:rsid w:val="00321375"/>
    <w:rsid w:val="00321959"/>
    <w:rsid w:val="00321BA4"/>
    <w:rsid w:val="0032402C"/>
    <w:rsid w:val="00324238"/>
    <w:rsid w:val="00324260"/>
    <w:rsid w:val="0032502A"/>
    <w:rsid w:val="00325DDD"/>
    <w:rsid w:val="003264A5"/>
    <w:rsid w:val="003274AB"/>
    <w:rsid w:val="003279D1"/>
    <w:rsid w:val="003300DF"/>
    <w:rsid w:val="00330400"/>
    <w:rsid w:val="00330467"/>
    <w:rsid w:val="00330C3D"/>
    <w:rsid w:val="00330F67"/>
    <w:rsid w:val="00331296"/>
    <w:rsid w:val="003317AE"/>
    <w:rsid w:val="00331A15"/>
    <w:rsid w:val="00332427"/>
    <w:rsid w:val="00332D85"/>
    <w:rsid w:val="00332E74"/>
    <w:rsid w:val="003338A6"/>
    <w:rsid w:val="00333BE8"/>
    <w:rsid w:val="00334491"/>
    <w:rsid w:val="00335741"/>
    <w:rsid w:val="003359C9"/>
    <w:rsid w:val="0033720A"/>
    <w:rsid w:val="0033746F"/>
    <w:rsid w:val="00337875"/>
    <w:rsid w:val="00340721"/>
    <w:rsid w:val="00340A26"/>
    <w:rsid w:val="00341EB9"/>
    <w:rsid w:val="0034274A"/>
    <w:rsid w:val="003429FB"/>
    <w:rsid w:val="00342FBA"/>
    <w:rsid w:val="00343E02"/>
    <w:rsid w:val="00344226"/>
    <w:rsid w:val="00344FF4"/>
    <w:rsid w:val="00350241"/>
    <w:rsid w:val="00350FAC"/>
    <w:rsid w:val="003512F4"/>
    <w:rsid w:val="003519A6"/>
    <w:rsid w:val="00352C54"/>
    <w:rsid w:val="00353167"/>
    <w:rsid w:val="00353FF9"/>
    <w:rsid w:val="00354582"/>
    <w:rsid w:val="0035571B"/>
    <w:rsid w:val="00355C9E"/>
    <w:rsid w:val="00355D99"/>
    <w:rsid w:val="00355E2C"/>
    <w:rsid w:val="0035636C"/>
    <w:rsid w:val="00357999"/>
    <w:rsid w:val="00360DF0"/>
    <w:rsid w:val="00360EE4"/>
    <w:rsid w:val="00361A45"/>
    <w:rsid w:val="00361DE0"/>
    <w:rsid w:val="003631E9"/>
    <w:rsid w:val="0036414F"/>
    <w:rsid w:val="003659D0"/>
    <w:rsid w:val="003666DA"/>
    <w:rsid w:val="00371E81"/>
    <w:rsid w:val="0037341B"/>
    <w:rsid w:val="00375053"/>
    <w:rsid w:val="003750B0"/>
    <w:rsid w:val="0037622E"/>
    <w:rsid w:val="003764FB"/>
    <w:rsid w:val="00377F92"/>
    <w:rsid w:val="00377FBB"/>
    <w:rsid w:val="00380813"/>
    <w:rsid w:val="00380967"/>
    <w:rsid w:val="003812A5"/>
    <w:rsid w:val="003813BD"/>
    <w:rsid w:val="00381491"/>
    <w:rsid w:val="0038294F"/>
    <w:rsid w:val="0038327B"/>
    <w:rsid w:val="00383ECB"/>
    <w:rsid w:val="003877FE"/>
    <w:rsid w:val="00390AE9"/>
    <w:rsid w:val="00391843"/>
    <w:rsid w:val="00391F8B"/>
    <w:rsid w:val="00393A44"/>
    <w:rsid w:val="00394473"/>
    <w:rsid w:val="00397D3B"/>
    <w:rsid w:val="003A33F8"/>
    <w:rsid w:val="003A524F"/>
    <w:rsid w:val="003A5276"/>
    <w:rsid w:val="003A571B"/>
    <w:rsid w:val="003A6ACA"/>
    <w:rsid w:val="003A6C1D"/>
    <w:rsid w:val="003A6D80"/>
    <w:rsid w:val="003B2F12"/>
    <w:rsid w:val="003B301F"/>
    <w:rsid w:val="003B3FF5"/>
    <w:rsid w:val="003B4B4A"/>
    <w:rsid w:val="003B6E0C"/>
    <w:rsid w:val="003B7B18"/>
    <w:rsid w:val="003C026E"/>
    <w:rsid w:val="003C0378"/>
    <w:rsid w:val="003C17FA"/>
    <w:rsid w:val="003C19E2"/>
    <w:rsid w:val="003C3CC8"/>
    <w:rsid w:val="003C49DE"/>
    <w:rsid w:val="003C4FB3"/>
    <w:rsid w:val="003C6102"/>
    <w:rsid w:val="003C64D5"/>
    <w:rsid w:val="003C7E17"/>
    <w:rsid w:val="003D0957"/>
    <w:rsid w:val="003D0ABF"/>
    <w:rsid w:val="003D13BE"/>
    <w:rsid w:val="003D1900"/>
    <w:rsid w:val="003D1F42"/>
    <w:rsid w:val="003D28A5"/>
    <w:rsid w:val="003D4086"/>
    <w:rsid w:val="003D4406"/>
    <w:rsid w:val="003D4727"/>
    <w:rsid w:val="003D474E"/>
    <w:rsid w:val="003D4CE7"/>
    <w:rsid w:val="003D4EB7"/>
    <w:rsid w:val="003D5760"/>
    <w:rsid w:val="003D5E91"/>
    <w:rsid w:val="003D7BA4"/>
    <w:rsid w:val="003E073E"/>
    <w:rsid w:val="003E096B"/>
    <w:rsid w:val="003E314F"/>
    <w:rsid w:val="003E357A"/>
    <w:rsid w:val="003E3633"/>
    <w:rsid w:val="003E3D4D"/>
    <w:rsid w:val="003E5984"/>
    <w:rsid w:val="003E5BDD"/>
    <w:rsid w:val="003E5F54"/>
    <w:rsid w:val="003E67AF"/>
    <w:rsid w:val="003E77AE"/>
    <w:rsid w:val="003E7B80"/>
    <w:rsid w:val="003F110C"/>
    <w:rsid w:val="003F1372"/>
    <w:rsid w:val="003F2B72"/>
    <w:rsid w:val="003F2EE0"/>
    <w:rsid w:val="003F4A9A"/>
    <w:rsid w:val="003F6291"/>
    <w:rsid w:val="003F6554"/>
    <w:rsid w:val="003F7342"/>
    <w:rsid w:val="003F768B"/>
    <w:rsid w:val="003F7D8E"/>
    <w:rsid w:val="003F7FE3"/>
    <w:rsid w:val="00400C5C"/>
    <w:rsid w:val="0040123E"/>
    <w:rsid w:val="00401531"/>
    <w:rsid w:val="00401677"/>
    <w:rsid w:val="00402145"/>
    <w:rsid w:val="004025F1"/>
    <w:rsid w:val="00403B00"/>
    <w:rsid w:val="00405A9F"/>
    <w:rsid w:val="004062AF"/>
    <w:rsid w:val="00407CFA"/>
    <w:rsid w:val="00411EAA"/>
    <w:rsid w:val="004130A6"/>
    <w:rsid w:val="00414754"/>
    <w:rsid w:val="004162B1"/>
    <w:rsid w:val="00416723"/>
    <w:rsid w:val="00416CF2"/>
    <w:rsid w:val="00416EFA"/>
    <w:rsid w:val="00417823"/>
    <w:rsid w:val="004178FA"/>
    <w:rsid w:val="00420637"/>
    <w:rsid w:val="00420931"/>
    <w:rsid w:val="0042096E"/>
    <w:rsid w:val="004211F8"/>
    <w:rsid w:val="00422875"/>
    <w:rsid w:val="00422F81"/>
    <w:rsid w:val="00423664"/>
    <w:rsid w:val="0042399F"/>
    <w:rsid w:val="00423A58"/>
    <w:rsid w:val="00425E7E"/>
    <w:rsid w:val="004261B1"/>
    <w:rsid w:val="0042634A"/>
    <w:rsid w:val="00426CDF"/>
    <w:rsid w:val="00427390"/>
    <w:rsid w:val="00427A65"/>
    <w:rsid w:val="00430A17"/>
    <w:rsid w:val="00430A61"/>
    <w:rsid w:val="00431D42"/>
    <w:rsid w:val="00432E43"/>
    <w:rsid w:val="00433009"/>
    <w:rsid w:val="00433032"/>
    <w:rsid w:val="00433C7D"/>
    <w:rsid w:val="00434A22"/>
    <w:rsid w:val="00434EDA"/>
    <w:rsid w:val="0043510A"/>
    <w:rsid w:val="004358D6"/>
    <w:rsid w:val="00440691"/>
    <w:rsid w:val="004424A6"/>
    <w:rsid w:val="00443857"/>
    <w:rsid w:val="00443AF9"/>
    <w:rsid w:val="00444558"/>
    <w:rsid w:val="004455A7"/>
    <w:rsid w:val="00445D56"/>
    <w:rsid w:val="00446681"/>
    <w:rsid w:val="004467F4"/>
    <w:rsid w:val="00447108"/>
    <w:rsid w:val="004476D0"/>
    <w:rsid w:val="00451D7F"/>
    <w:rsid w:val="004525C4"/>
    <w:rsid w:val="00452D4B"/>
    <w:rsid w:val="004530C2"/>
    <w:rsid w:val="00454230"/>
    <w:rsid w:val="0045434D"/>
    <w:rsid w:val="00454CEC"/>
    <w:rsid w:val="00456156"/>
    <w:rsid w:val="00456655"/>
    <w:rsid w:val="00456D16"/>
    <w:rsid w:val="004573A5"/>
    <w:rsid w:val="004573E9"/>
    <w:rsid w:val="00461202"/>
    <w:rsid w:val="004612C2"/>
    <w:rsid w:val="00461ADD"/>
    <w:rsid w:val="00463AE3"/>
    <w:rsid w:val="00464FE5"/>
    <w:rsid w:val="00465AFA"/>
    <w:rsid w:val="00466864"/>
    <w:rsid w:val="00467965"/>
    <w:rsid w:val="00467FD5"/>
    <w:rsid w:val="00470122"/>
    <w:rsid w:val="00470563"/>
    <w:rsid w:val="00470965"/>
    <w:rsid w:val="004719CA"/>
    <w:rsid w:val="004719E3"/>
    <w:rsid w:val="00472826"/>
    <w:rsid w:val="00472B7E"/>
    <w:rsid w:val="0047358E"/>
    <w:rsid w:val="00474705"/>
    <w:rsid w:val="00475430"/>
    <w:rsid w:val="00475C0C"/>
    <w:rsid w:val="00476F2C"/>
    <w:rsid w:val="004801B5"/>
    <w:rsid w:val="004807C0"/>
    <w:rsid w:val="004808B8"/>
    <w:rsid w:val="00480FC1"/>
    <w:rsid w:val="00481963"/>
    <w:rsid w:val="0048281D"/>
    <w:rsid w:val="00482A6A"/>
    <w:rsid w:val="004849C2"/>
    <w:rsid w:val="0048628F"/>
    <w:rsid w:val="00486C5A"/>
    <w:rsid w:val="00486E39"/>
    <w:rsid w:val="0048724C"/>
    <w:rsid w:val="00490210"/>
    <w:rsid w:val="0049035A"/>
    <w:rsid w:val="00491B31"/>
    <w:rsid w:val="0049506E"/>
    <w:rsid w:val="00495F70"/>
    <w:rsid w:val="00496BBE"/>
    <w:rsid w:val="00496C68"/>
    <w:rsid w:val="004974A6"/>
    <w:rsid w:val="00497527"/>
    <w:rsid w:val="00497553"/>
    <w:rsid w:val="00497DF6"/>
    <w:rsid w:val="004A26E5"/>
    <w:rsid w:val="004A2CCE"/>
    <w:rsid w:val="004A4608"/>
    <w:rsid w:val="004A55AD"/>
    <w:rsid w:val="004A5D6D"/>
    <w:rsid w:val="004A6255"/>
    <w:rsid w:val="004A6C4F"/>
    <w:rsid w:val="004A79E3"/>
    <w:rsid w:val="004A7D00"/>
    <w:rsid w:val="004B07CB"/>
    <w:rsid w:val="004B11ED"/>
    <w:rsid w:val="004B15A3"/>
    <w:rsid w:val="004B1912"/>
    <w:rsid w:val="004B2D46"/>
    <w:rsid w:val="004B4B09"/>
    <w:rsid w:val="004B6FD3"/>
    <w:rsid w:val="004B7908"/>
    <w:rsid w:val="004C0151"/>
    <w:rsid w:val="004C26AA"/>
    <w:rsid w:val="004C3D93"/>
    <w:rsid w:val="004C4AFE"/>
    <w:rsid w:val="004C5FE1"/>
    <w:rsid w:val="004C7D3A"/>
    <w:rsid w:val="004D04C0"/>
    <w:rsid w:val="004D0CD4"/>
    <w:rsid w:val="004D0D5D"/>
    <w:rsid w:val="004D1A56"/>
    <w:rsid w:val="004D1B6F"/>
    <w:rsid w:val="004D2853"/>
    <w:rsid w:val="004D33CD"/>
    <w:rsid w:val="004D3D69"/>
    <w:rsid w:val="004D3FC3"/>
    <w:rsid w:val="004D4D36"/>
    <w:rsid w:val="004D607E"/>
    <w:rsid w:val="004E0263"/>
    <w:rsid w:val="004E0D82"/>
    <w:rsid w:val="004E1312"/>
    <w:rsid w:val="004E1353"/>
    <w:rsid w:val="004E1A96"/>
    <w:rsid w:val="004E1F52"/>
    <w:rsid w:val="004E2E57"/>
    <w:rsid w:val="004E2EEE"/>
    <w:rsid w:val="004E33C1"/>
    <w:rsid w:val="004E3681"/>
    <w:rsid w:val="004E395F"/>
    <w:rsid w:val="004E3AC8"/>
    <w:rsid w:val="004E3EB5"/>
    <w:rsid w:val="004E5752"/>
    <w:rsid w:val="004E6102"/>
    <w:rsid w:val="004E741A"/>
    <w:rsid w:val="004E77F6"/>
    <w:rsid w:val="004E78A0"/>
    <w:rsid w:val="004E7AD5"/>
    <w:rsid w:val="004F01D4"/>
    <w:rsid w:val="004F08C9"/>
    <w:rsid w:val="004F0B23"/>
    <w:rsid w:val="004F0C0F"/>
    <w:rsid w:val="004F14DB"/>
    <w:rsid w:val="004F1CB7"/>
    <w:rsid w:val="004F2648"/>
    <w:rsid w:val="004F2948"/>
    <w:rsid w:val="004F32A5"/>
    <w:rsid w:val="004F3889"/>
    <w:rsid w:val="004F49FE"/>
    <w:rsid w:val="004F5284"/>
    <w:rsid w:val="004F52EF"/>
    <w:rsid w:val="004F531F"/>
    <w:rsid w:val="004F5D4B"/>
    <w:rsid w:val="004F6915"/>
    <w:rsid w:val="004F6E02"/>
    <w:rsid w:val="004F71D2"/>
    <w:rsid w:val="004F7FCF"/>
    <w:rsid w:val="00501DCC"/>
    <w:rsid w:val="005034D7"/>
    <w:rsid w:val="005048D5"/>
    <w:rsid w:val="00504A44"/>
    <w:rsid w:val="005050E3"/>
    <w:rsid w:val="00506D07"/>
    <w:rsid w:val="00506D0D"/>
    <w:rsid w:val="005072E6"/>
    <w:rsid w:val="005073A7"/>
    <w:rsid w:val="00507883"/>
    <w:rsid w:val="00511618"/>
    <w:rsid w:val="00516590"/>
    <w:rsid w:val="00521605"/>
    <w:rsid w:val="0052261C"/>
    <w:rsid w:val="005249CA"/>
    <w:rsid w:val="00525893"/>
    <w:rsid w:val="005269D1"/>
    <w:rsid w:val="00527244"/>
    <w:rsid w:val="005304DE"/>
    <w:rsid w:val="0053177A"/>
    <w:rsid w:val="00531EE8"/>
    <w:rsid w:val="00533A8A"/>
    <w:rsid w:val="00533DE1"/>
    <w:rsid w:val="005359E3"/>
    <w:rsid w:val="00535FAB"/>
    <w:rsid w:val="00536825"/>
    <w:rsid w:val="00536C5A"/>
    <w:rsid w:val="00536E83"/>
    <w:rsid w:val="00537840"/>
    <w:rsid w:val="00537EA3"/>
    <w:rsid w:val="00540FA8"/>
    <w:rsid w:val="0054146B"/>
    <w:rsid w:val="00541C8F"/>
    <w:rsid w:val="005434F1"/>
    <w:rsid w:val="00544A80"/>
    <w:rsid w:val="005456B5"/>
    <w:rsid w:val="005461F8"/>
    <w:rsid w:val="005469D6"/>
    <w:rsid w:val="005469E6"/>
    <w:rsid w:val="0055044F"/>
    <w:rsid w:val="00551003"/>
    <w:rsid w:val="00551282"/>
    <w:rsid w:val="005527E1"/>
    <w:rsid w:val="00552B4B"/>
    <w:rsid w:val="00552BEA"/>
    <w:rsid w:val="00553072"/>
    <w:rsid w:val="00553642"/>
    <w:rsid w:val="00554CE1"/>
    <w:rsid w:val="005553E3"/>
    <w:rsid w:val="00555CF0"/>
    <w:rsid w:val="005568B1"/>
    <w:rsid w:val="00557378"/>
    <w:rsid w:val="00560943"/>
    <w:rsid w:val="00560B67"/>
    <w:rsid w:val="00560CD8"/>
    <w:rsid w:val="00560D5C"/>
    <w:rsid w:val="00561072"/>
    <w:rsid w:val="005610E3"/>
    <w:rsid w:val="00561BB5"/>
    <w:rsid w:val="0056301D"/>
    <w:rsid w:val="00565A8A"/>
    <w:rsid w:val="00566CC9"/>
    <w:rsid w:val="0056741C"/>
    <w:rsid w:val="005675EE"/>
    <w:rsid w:val="00567883"/>
    <w:rsid w:val="00570C56"/>
    <w:rsid w:val="005738F3"/>
    <w:rsid w:val="00573FAB"/>
    <w:rsid w:val="00574442"/>
    <w:rsid w:val="00575228"/>
    <w:rsid w:val="00575407"/>
    <w:rsid w:val="0057573A"/>
    <w:rsid w:val="0057636A"/>
    <w:rsid w:val="00577F85"/>
    <w:rsid w:val="00580A6E"/>
    <w:rsid w:val="0058108B"/>
    <w:rsid w:val="00581C2F"/>
    <w:rsid w:val="0058232A"/>
    <w:rsid w:val="005825D4"/>
    <w:rsid w:val="00582F6D"/>
    <w:rsid w:val="00583E48"/>
    <w:rsid w:val="00584722"/>
    <w:rsid w:val="00584A07"/>
    <w:rsid w:val="0058536E"/>
    <w:rsid w:val="0058614A"/>
    <w:rsid w:val="00586B96"/>
    <w:rsid w:val="00586B99"/>
    <w:rsid w:val="005919AB"/>
    <w:rsid w:val="00592630"/>
    <w:rsid w:val="005928B7"/>
    <w:rsid w:val="005932FF"/>
    <w:rsid w:val="00593751"/>
    <w:rsid w:val="005937F2"/>
    <w:rsid w:val="0059477F"/>
    <w:rsid w:val="00594AF5"/>
    <w:rsid w:val="00594BCF"/>
    <w:rsid w:val="005953D8"/>
    <w:rsid w:val="00595A48"/>
    <w:rsid w:val="00595FAE"/>
    <w:rsid w:val="005965A5"/>
    <w:rsid w:val="005A0C8C"/>
    <w:rsid w:val="005A0D0A"/>
    <w:rsid w:val="005A1838"/>
    <w:rsid w:val="005A1AA2"/>
    <w:rsid w:val="005A2217"/>
    <w:rsid w:val="005A32D1"/>
    <w:rsid w:val="005A41E8"/>
    <w:rsid w:val="005A53FD"/>
    <w:rsid w:val="005A5ABA"/>
    <w:rsid w:val="005A75B3"/>
    <w:rsid w:val="005A78BF"/>
    <w:rsid w:val="005B0257"/>
    <w:rsid w:val="005B042E"/>
    <w:rsid w:val="005B0878"/>
    <w:rsid w:val="005B0D6F"/>
    <w:rsid w:val="005B19F1"/>
    <w:rsid w:val="005B3D7A"/>
    <w:rsid w:val="005B3F26"/>
    <w:rsid w:val="005B5B34"/>
    <w:rsid w:val="005B6BD1"/>
    <w:rsid w:val="005B6C79"/>
    <w:rsid w:val="005B7DAC"/>
    <w:rsid w:val="005C0350"/>
    <w:rsid w:val="005C0553"/>
    <w:rsid w:val="005C0EE8"/>
    <w:rsid w:val="005C105F"/>
    <w:rsid w:val="005C16FE"/>
    <w:rsid w:val="005C1BB5"/>
    <w:rsid w:val="005C2E86"/>
    <w:rsid w:val="005C423F"/>
    <w:rsid w:val="005C5B0F"/>
    <w:rsid w:val="005C6CA7"/>
    <w:rsid w:val="005C745E"/>
    <w:rsid w:val="005D2600"/>
    <w:rsid w:val="005D26D8"/>
    <w:rsid w:val="005D2ABC"/>
    <w:rsid w:val="005D3100"/>
    <w:rsid w:val="005D46F8"/>
    <w:rsid w:val="005D4EEF"/>
    <w:rsid w:val="005D5404"/>
    <w:rsid w:val="005D5EFD"/>
    <w:rsid w:val="005D6265"/>
    <w:rsid w:val="005D6FA4"/>
    <w:rsid w:val="005E1752"/>
    <w:rsid w:val="005E1967"/>
    <w:rsid w:val="005E1B11"/>
    <w:rsid w:val="005E366D"/>
    <w:rsid w:val="005E501B"/>
    <w:rsid w:val="005E5572"/>
    <w:rsid w:val="005E60BA"/>
    <w:rsid w:val="005E64D1"/>
    <w:rsid w:val="005E7C6A"/>
    <w:rsid w:val="005F04B1"/>
    <w:rsid w:val="005F1754"/>
    <w:rsid w:val="005F23C4"/>
    <w:rsid w:val="005F2643"/>
    <w:rsid w:val="005F2D75"/>
    <w:rsid w:val="005F3BD3"/>
    <w:rsid w:val="005F3BE1"/>
    <w:rsid w:val="005F3F33"/>
    <w:rsid w:val="005F4689"/>
    <w:rsid w:val="005F59E2"/>
    <w:rsid w:val="005F5A57"/>
    <w:rsid w:val="005F5CA8"/>
    <w:rsid w:val="005F5F57"/>
    <w:rsid w:val="005F6317"/>
    <w:rsid w:val="005F6E0B"/>
    <w:rsid w:val="005F7A54"/>
    <w:rsid w:val="006003CF"/>
    <w:rsid w:val="00601765"/>
    <w:rsid w:val="00601D11"/>
    <w:rsid w:val="006020AF"/>
    <w:rsid w:val="0060275E"/>
    <w:rsid w:val="0060372E"/>
    <w:rsid w:val="00604F82"/>
    <w:rsid w:val="006052C3"/>
    <w:rsid w:val="00605B84"/>
    <w:rsid w:val="00606AD5"/>
    <w:rsid w:val="00607684"/>
    <w:rsid w:val="00607924"/>
    <w:rsid w:val="0061032B"/>
    <w:rsid w:val="006115F2"/>
    <w:rsid w:val="00612823"/>
    <w:rsid w:val="006132C0"/>
    <w:rsid w:val="0061388F"/>
    <w:rsid w:val="00613F02"/>
    <w:rsid w:val="0061462A"/>
    <w:rsid w:val="006147CF"/>
    <w:rsid w:val="006154D8"/>
    <w:rsid w:val="00615651"/>
    <w:rsid w:val="00615D74"/>
    <w:rsid w:val="006175E0"/>
    <w:rsid w:val="00617D08"/>
    <w:rsid w:val="00617D40"/>
    <w:rsid w:val="006213A2"/>
    <w:rsid w:val="00621D43"/>
    <w:rsid w:val="006224D8"/>
    <w:rsid w:val="00623C16"/>
    <w:rsid w:val="00624F25"/>
    <w:rsid w:val="006270E3"/>
    <w:rsid w:val="006274C8"/>
    <w:rsid w:val="00627BFB"/>
    <w:rsid w:val="00630F39"/>
    <w:rsid w:val="00631340"/>
    <w:rsid w:val="00631388"/>
    <w:rsid w:val="006316B1"/>
    <w:rsid w:val="00633D84"/>
    <w:rsid w:val="006344E7"/>
    <w:rsid w:val="006374CC"/>
    <w:rsid w:val="00640F2E"/>
    <w:rsid w:val="00641582"/>
    <w:rsid w:val="0064280F"/>
    <w:rsid w:val="00643287"/>
    <w:rsid w:val="006442CA"/>
    <w:rsid w:val="00644E41"/>
    <w:rsid w:val="006454A4"/>
    <w:rsid w:val="0064598D"/>
    <w:rsid w:val="00645DCC"/>
    <w:rsid w:val="00646C02"/>
    <w:rsid w:val="00646F87"/>
    <w:rsid w:val="006473AB"/>
    <w:rsid w:val="00650F59"/>
    <w:rsid w:val="00651299"/>
    <w:rsid w:val="0065239A"/>
    <w:rsid w:val="00653ACC"/>
    <w:rsid w:val="00653F31"/>
    <w:rsid w:val="006543CB"/>
    <w:rsid w:val="00656076"/>
    <w:rsid w:val="006563B4"/>
    <w:rsid w:val="006574AA"/>
    <w:rsid w:val="00660804"/>
    <w:rsid w:val="00660E83"/>
    <w:rsid w:val="006622EF"/>
    <w:rsid w:val="0066281E"/>
    <w:rsid w:val="0066284E"/>
    <w:rsid w:val="00662F8C"/>
    <w:rsid w:val="0066466E"/>
    <w:rsid w:val="00664C8C"/>
    <w:rsid w:val="00664FB5"/>
    <w:rsid w:val="00667A5D"/>
    <w:rsid w:val="00667E6C"/>
    <w:rsid w:val="00670ABF"/>
    <w:rsid w:val="006713AE"/>
    <w:rsid w:val="0067206F"/>
    <w:rsid w:val="00672379"/>
    <w:rsid w:val="006727AC"/>
    <w:rsid w:val="006728DC"/>
    <w:rsid w:val="00672BE2"/>
    <w:rsid w:val="00672C21"/>
    <w:rsid w:val="0067306B"/>
    <w:rsid w:val="00673D47"/>
    <w:rsid w:val="006742AC"/>
    <w:rsid w:val="00675623"/>
    <w:rsid w:val="00676D46"/>
    <w:rsid w:val="00677327"/>
    <w:rsid w:val="00677F51"/>
    <w:rsid w:val="006809E0"/>
    <w:rsid w:val="006810AB"/>
    <w:rsid w:val="00682E63"/>
    <w:rsid w:val="0068329D"/>
    <w:rsid w:val="0068342B"/>
    <w:rsid w:val="006839FF"/>
    <w:rsid w:val="00683B18"/>
    <w:rsid w:val="006843E0"/>
    <w:rsid w:val="006858AA"/>
    <w:rsid w:val="00685E67"/>
    <w:rsid w:val="00686097"/>
    <w:rsid w:val="00687A4B"/>
    <w:rsid w:val="00691312"/>
    <w:rsid w:val="00691637"/>
    <w:rsid w:val="0069335E"/>
    <w:rsid w:val="006934CE"/>
    <w:rsid w:val="0069547E"/>
    <w:rsid w:val="00696BB5"/>
    <w:rsid w:val="006973EC"/>
    <w:rsid w:val="006978D0"/>
    <w:rsid w:val="006A0A9F"/>
    <w:rsid w:val="006A0D27"/>
    <w:rsid w:val="006A1420"/>
    <w:rsid w:val="006A1544"/>
    <w:rsid w:val="006A2557"/>
    <w:rsid w:val="006A26CA"/>
    <w:rsid w:val="006A3FD3"/>
    <w:rsid w:val="006A4275"/>
    <w:rsid w:val="006A480A"/>
    <w:rsid w:val="006A4F04"/>
    <w:rsid w:val="006A50B4"/>
    <w:rsid w:val="006A57A1"/>
    <w:rsid w:val="006A5959"/>
    <w:rsid w:val="006A5CC5"/>
    <w:rsid w:val="006A6BF0"/>
    <w:rsid w:val="006B04EC"/>
    <w:rsid w:val="006B05AA"/>
    <w:rsid w:val="006B0B7D"/>
    <w:rsid w:val="006B0D91"/>
    <w:rsid w:val="006B260D"/>
    <w:rsid w:val="006B29A1"/>
    <w:rsid w:val="006B3617"/>
    <w:rsid w:val="006B3B2B"/>
    <w:rsid w:val="006B3D7C"/>
    <w:rsid w:val="006B4A0F"/>
    <w:rsid w:val="006B6E2A"/>
    <w:rsid w:val="006B71E5"/>
    <w:rsid w:val="006B727F"/>
    <w:rsid w:val="006B72CA"/>
    <w:rsid w:val="006B72DB"/>
    <w:rsid w:val="006B7B0A"/>
    <w:rsid w:val="006B7F22"/>
    <w:rsid w:val="006C1C85"/>
    <w:rsid w:val="006C272E"/>
    <w:rsid w:val="006C2A60"/>
    <w:rsid w:val="006C2F31"/>
    <w:rsid w:val="006C3216"/>
    <w:rsid w:val="006C433A"/>
    <w:rsid w:val="006C5996"/>
    <w:rsid w:val="006C5CC2"/>
    <w:rsid w:val="006C6BAD"/>
    <w:rsid w:val="006C7DCB"/>
    <w:rsid w:val="006D2DD4"/>
    <w:rsid w:val="006D3E0C"/>
    <w:rsid w:val="006D413F"/>
    <w:rsid w:val="006D5BA9"/>
    <w:rsid w:val="006D7874"/>
    <w:rsid w:val="006D7A6D"/>
    <w:rsid w:val="006D7BF2"/>
    <w:rsid w:val="006D7EE3"/>
    <w:rsid w:val="006E0BED"/>
    <w:rsid w:val="006E2DD7"/>
    <w:rsid w:val="006E343D"/>
    <w:rsid w:val="006E4E7F"/>
    <w:rsid w:val="006E5FBD"/>
    <w:rsid w:val="006E6057"/>
    <w:rsid w:val="006E6B1C"/>
    <w:rsid w:val="006E7150"/>
    <w:rsid w:val="006F049A"/>
    <w:rsid w:val="006F16FA"/>
    <w:rsid w:val="006F188B"/>
    <w:rsid w:val="006F1BC3"/>
    <w:rsid w:val="006F3744"/>
    <w:rsid w:val="006F37ED"/>
    <w:rsid w:val="006F600D"/>
    <w:rsid w:val="006F678D"/>
    <w:rsid w:val="006F6F6C"/>
    <w:rsid w:val="00700703"/>
    <w:rsid w:val="00701F76"/>
    <w:rsid w:val="0070220B"/>
    <w:rsid w:val="00702682"/>
    <w:rsid w:val="00705947"/>
    <w:rsid w:val="0070608B"/>
    <w:rsid w:val="00706ECC"/>
    <w:rsid w:val="00707C13"/>
    <w:rsid w:val="00707FEF"/>
    <w:rsid w:val="0071048E"/>
    <w:rsid w:val="0071137B"/>
    <w:rsid w:val="00712B81"/>
    <w:rsid w:val="00712C56"/>
    <w:rsid w:val="0071394B"/>
    <w:rsid w:val="00713BED"/>
    <w:rsid w:val="007152E7"/>
    <w:rsid w:val="0071535F"/>
    <w:rsid w:val="007154DA"/>
    <w:rsid w:val="007156D8"/>
    <w:rsid w:val="00716100"/>
    <w:rsid w:val="007162B6"/>
    <w:rsid w:val="007164EC"/>
    <w:rsid w:val="00716F67"/>
    <w:rsid w:val="0072024A"/>
    <w:rsid w:val="007208A3"/>
    <w:rsid w:val="0072107A"/>
    <w:rsid w:val="00721556"/>
    <w:rsid w:val="007216E3"/>
    <w:rsid w:val="00721A23"/>
    <w:rsid w:val="00721B0A"/>
    <w:rsid w:val="007227A3"/>
    <w:rsid w:val="0072304C"/>
    <w:rsid w:val="0072329F"/>
    <w:rsid w:val="00723D62"/>
    <w:rsid w:val="00724C02"/>
    <w:rsid w:val="00725A9B"/>
    <w:rsid w:val="00725CDA"/>
    <w:rsid w:val="007279C4"/>
    <w:rsid w:val="00730099"/>
    <w:rsid w:val="00730ADB"/>
    <w:rsid w:val="007319CE"/>
    <w:rsid w:val="00731B47"/>
    <w:rsid w:val="00733002"/>
    <w:rsid w:val="00733AE3"/>
    <w:rsid w:val="007345DF"/>
    <w:rsid w:val="00734C15"/>
    <w:rsid w:val="00735168"/>
    <w:rsid w:val="007362F0"/>
    <w:rsid w:val="007364DF"/>
    <w:rsid w:val="007366E3"/>
    <w:rsid w:val="00737863"/>
    <w:rsid w:val="00737912"/>
    <w:rsid w:val="00737F52"/>
    <w:rsid w:val="00740C7A"/>
    <w:rsid w:val="007411E1"/>
    <w:rsid w:val="00741C9C"/>
    <w:rsid w:val="0074273F"/>
    <w:rsid w:val="00743028"/>
    <w:rsid w:val="007438FD"/>
    <w:rsid w:val="00743DA1"/>
    <w:rsid w:val="00744206"/>
    <w:rsid w:val="0074528D"/>
    <w:rsid w:val="0074632B"/>
    <w:rsid w:val="0074678A"/>
    <w:rsid w:val="007477F7"/>
    <w:rsid w:val="00750C8C"/>
    <w:rsid w:val="00751C23"/>
    <w:rsid w:val="00751F27"/>
    <w:rsid w:val="00752D72"/>
    <w:rsid w:val="007556C5"/>
    <w:rsid w:val="007560A3"/>
    <w:rsid w:val="00756B35"/>
    <w:rsid w:val="00760107"/>
    <w:rsid w:val="00760E56"/>
    <w:rsid w:val="0076197E"/>
    <w:rsid w:val="00763EFA"/>
    <w:rsid w:val="0076493D"/>
    <w:rsid w:val="0076574E"/>
    <w:rsid w:val="00765A8C"/>
    <w:rsid w:val="00767288"/>
    <w:rsid w:val="00767668"/>
    <w:rsid w:val="00767DB7"/>
    <w:rsid w:val="00770298"/>
    <w:rsid w:val="0077072B"/>
    <w:rsid w:val="00772E1B"/>
    <w:rsid w:val="00775973"/>
    <w:rsid w:val="00776A19"/>
    <w:rsid w:val="00780247"/>
    <w:rsid w:val="00780E2C"/>
    <w:rsid w:val="00781ED6"/>
    <w:rsid w:val="00782EEE"/>
    <w:rsid w:val="00783C6F"/>
    <w:rsid w:val="0078440D"/>
    <w:rsid w:val="0078468D"/>
    <w:rsid w:val="00785371"/>
    <w:rsid w:val="00785B4F"/>
    <w:rsid w:val="00787246"/>
    <w:rsid w:val="0078733F"/>
    <w:rsid w:val="00787DB0"/>
    <w:rsid w:val="00790D31"/>
    <w:rsid w:val="007916DF"/>
    <w:rsid w:val="00792658"/>
    <w:rsid w:val="007927EA"/>
    <w:rsid w:val="00792996"/>
    <w:rsid w:val="00792D21"/>
    <w:rsid w:val="00793084"/>
    <w:rsid w:val="007939EA"/>
    <w:rsid w:val="00793FA2"/>
    <w:rsid w:val="007946EF"/>
    <w:rsid w:val="00795D9F"/>
    <w:rsid w:val="00796634"/>
    <w:rsid w:val="00797236"/>
    <w:rsid w:val="007A0543"/>
    <w:rsid w:val="007A22FE"/>
    <w:rsid w:val="007A2C1C"/>
    <w:rsid w:val="007A2D4C"/>
    <w:rsid w:val="007A3183"/>
    <w:rsid w:val="007A402C"/>
    <w:rsid w:val="007A4B61"/>
    <w:rsid w:val="007A60F8"/>
    <w:rsid w:val="007A639E"/>
    <w:rsid w:val="007A6DD7"/>
    <w:rsid w:val="007A781D"/>
    <w:rsid w:val="007A7DBF"/>
    <w:rsid w:val="007B1049"/>
    <w:rsid w:val="007B1602"/>
    <w:rsid w:val="007B30BD"/>
    <w:rsid w:val="007B45A3"/>
    <w:rsid w:val="007B499E"/>
    <w:rsid w:val="007B4AB0"/>
    <w:rsid w:val="007B4B4F"/>
    <w:rsid w:val="007B5B0B"/>
    <w:rsid w:val="007B7C1E"/>
    <w:rsid w:val="007C09CB"/>
    <w:rsid w:val="007C13EC"/>
    <w:rsid w:val="007C1799"/>
    <w:rsid w:val="007C1896"/>
    <w:rsid w:val="007C2E4B"/>
    <w:rsid w:val="007C3C51"/>
    <w:rsid w:val="007C3F01"/>
    <w:rsid w:val="007C40B1"/>
    <w:rsid w:val="007C4DAD"/>
    <w:rsid w:val="007C66A1"/>
    <w:rsid w:val="007C6A25"/>
    <w:rsid w:val="007D0699"/>
    <w:rsid w:val="007D10FF"/>
    <w:rsid w:val="007D18B3"/>
    <w:rsid w:val="007D41C9"/>
    <w:rsid w:val="007D48E2"/>
    <w:rsid w:val="007D4C1E"/>
    <w:rsid w:val="007D4DE9"/>
    <w:rsid w:val="007D5C50"/>
    <w:rsid w:val="007D64FC"/>
    <w:rsid w:val="007D6F7B"/>
    <w:rsid w:val="007D7061"/>
    <w:rsid w:val="007D77AA"/>
    <w:rsid w:val="007E0028"/>
    <w:rsid w:val="007E02AE"/>
    <w:rsid w:val="007E0C0E"/>
    <w:rsid w:val="007E17A0"/>
    <w:rsid w:val="007E1C35"/>
    <w:rsid w:val="007E302B"/>
    <w:rsid w:val="007E3999"/>
    <w:rsid w:val="007E5BB5"/>
    <w:rsid w:val="007E5D44"/>
    <w:rsid w:val="007E619A"/>
    <w:rsid w:val="007E7216"/>
    <w:rsid w:val="007F1D7D"/>
    <w:rsid w:val="007F273E"/>
    <w:rsid w:val="007F296B"/>
    <w:rsid w:val="007F2D1B"/>
    <w:rsid w:val="007F456C"/>
    <w:rsid w:val="007F45AE"/>
    <w:rsid w:val="007F5447"/>
    <w:rsid w:val="007F5999"/>
    <w:rsid w:val="007F6570"/>
    <w:rsid w:val="007F70C3"/>
    <w:rsid w:val="00801CD5"/>
    <w:rsid w:val="0080200B"/>
    <w:rsid w:val="00802061"/>
    <w:rsid w:val="008020AB"/>
    <w:rsid w:val="008025B1"/>
    <w:rsid w:val="00802A8E"/>
    <w:rsid w:val="00802F96"/>
    <w:rsid w:val="00804943"/>
    <w:rsid w:val="0080541C"/>
    <w:rsid w:val="0080579A"/>
    <w:rsid w:val="0080632E"/>
    <w:rsid w:val="00806696"/>
    <w:rsid w:val="00806940"/>
    <w:rsid w:val="0081037F"/>
    <w:rsid w:val="0081097C"/>
    <w:rsid w:val="00810D8C"/>
    <w:rsid w:val="008112C6"/>
    <w:rsid w:val="00811962"/>
    <w:rsid w:val="00812429"/>
    <w:rsid w:val="008128BA"/>
    <w:rsid w:val="00814196"/>
    <w:rsid w:val="008149FE"/>
    <w:rsid w:val="0081589A"/>
    <w:rsid w:val="00815BD0"/>
    <w:rsid w:val="0081630B"/>
    <w:rsid w:val="00816B1E"/>
    <w:rsid w:val="00816C2B"/>
    <w:rsid w:val="00816FDD"/>
    <w:rsid w:val="00820979"/>
    <w:rsid w:val="00821F1D"/>
    <w:rsid w:val="00821F40"/>
    <w:rsid w:val="00822B76"/>
    <w:rsid w:val="00823459"/>
    <w:rsid w:val="00823605"/>
    <w:rsid w:val="00823AC6"/>
    <w:rsid w:val="00823D6A"/>
    <w:rsid w:val="0082551D"/>
    <w:rsid w:val="00825B83"/>
    <w:rsid w:val="008260F7"/>
    <w:rsid w:val="0082678F"/>
    <w:rsid w:val="00826AA3"/>
    <w:rsid w:val="008273FD"/>
    <w:rsid w:val="00827883"/>
    <w:rsid w:val="00827A29"/>
    <w:rsid w:val="0083147B"/>
    <w:rsid w:val="00831B30"/>
    <w:rsid w:val="00833D0A"/>
    <w:rsid w:val="008343B5"/>
    <w:rsid w:val="008347C4"/>
    <w:rsid w:val="00834A1C"/>
    <w:rsid w:val="00834E1B"/>
    <w:rsid w:val="008377AD"/>
    <w:rsid w:val="0084096E"/>
    <w:rsid w:val="00843576"/>
    <w:rsid w:val="00843F44"/>
    <w:rsid w:val="008443E3"/>
    <w:rsid w:val="008443F0"/>
    <w:rsid w:val="00844F1A"/>
    <w:rsid w:val="00845315"/>
    <w:rsid w:val="008465AD"/>
    <w:rsid w:val="00847B87"/>
    <w:rsid w:val="00847ED2"/>
    <w:rsid w:val="00850981"/>
    <w:rsid w:val="00851DD2"/>
    <w:rsid w:val="0085208F"/>
    <w:rsid w:val="00853843"/>
    <w:rsid w:val="00854478"/>
    <w:rsid w:val="00854A05"/>
    <w:rsid w:val="00856015"/>
    <w:rsid w:val="00856412"/>
    <w:rsid w:val="00856B01"/>
    <w:rsid w:val="00860448"/>
    <w:rsid w:val="008604CF"/>
    <w:rsid w:val="00860CCB"/>
    <w:rsid w:val="00862884"/>
    <w:rsid w:val="00862A37"/>
    <w:rsid w:val="008631BA"/>
    <w:rsid w:val="00863223"/>
    <w:rsid w:val="0086527B"/>
    <w:rsid w:val="00865612"/>
    <w:rsid w:val="008664F2"/>
    <w:rsid w:val="0086666A"/>
    <w:rsid w:val="008669D4"/>
    <w:rsid w:val="00867CF6"/>
    <w:rsid w:val="00867E91"/>
    <w:rsid w:val="0087200E"/>
    <w:rsid w:val="008752C4"/>
    <w:rsid w:val="00875C01"/>
    <w:rsid w:val="00876C7C"/>
    <w:rsid w:val="00876CCB"/>
    <w:rsid w:val="0087769A"/>
    <w:rsid w:val="00877C6E"/>
    <w:rsid w:val="00880560"/>
    <w:rsid w:val="00880F56"/>
    <w:rsid w:val="008824BC"/>
    <w:rsid w:val="00882CE1"/>
    <w:rsid w:val="0088563D"/>
    <w:rsid w:val="00885C23"/>
    <w:rsid w:val="00885D8D"/>
    <w:rsid w:val="00887008"/>
    <w:rsid w:val="00887231"/>
    <w:rsid w:val="00890995"/>
    <w:rsid w:val="00890B57"/>
    <w:rsid w:val="008917EB"/>
    <w:rsid w:val="00894E42"/>
    <w:rsid w:val="0089557D"/>
    <w:rsid w:val="00895DDA"/>
    <w:rsid w:val="008967EB"/>
    <w:rsid w:val="008A00D6"/>
    <w:rsid w:val="008A0438"/>
    <w:rsid w:val="008A1CBC"/>
    <w:rsid w:val="008A2C9A"/>
    <w:rsid w:val="008A41BB"/>
    <w:rsid w:val="008A41D6"/>
    <w:rsid w:val="008A5768"/>
    <w:rsid w:val="008A66FB"/>
    <w:rsid w:val="008A6F1F"/>
    <w:rsid w:val="008A721C"/>
    <w:rsid w:val="008A7E75"/>
    <w:rsid w:val="008B05FB"/>
    <w:rsid w:val="008B161B"/>
    <w:rsid w:val="008B176A"/>
    <w:rsid w:val="008B185B"/>
    <w:rsid w:val="008B1C19"/>
    <w:rsid w:val="008B2B31"/>
    <w:rsid w:val="008B438A"/>
    <w:rsid w:val="008B4571"/>
    <w:rsid w:val="008B4C4F"/>
    <w:rsid w:val="008B53D2"/>
    <w:rsid w:val="008B558B"/>
    <w:rsid w:val="008B566F"/>
    <w:rsid w:val="008B6E92"/>
    <w:rsid w:val="008B7D19"/>
    <w:rsid w:val="008C1482"/>
    <w:rsid w:val="008C251F"/>
    <w:rsid w:val="008C303A"/>
    <w:rsid w:val="008C331A"/>
    <w:rsid w:val="008C3711"/>
    <w:rsid w:val="008C6347"/>
    <w:rsid w:val="008C660F"/>
    <w:rsid w:val="008C6D2B"/>
    <w:rsid w:val="008C75F6"/>
    <w:rsid w:val="008C7D7C"/>
    <w:rsid w:val="008D0825"/>
    <w:rsid w:val="008D3956"/>
    <w:rsid w:val="008D45B7"/>
    <w:rsid w:val="008D4B12"/>
    <w:rsid w:val="008D52D6"/>
    <w:rsid w:val="008D68BD"/>
    <w:rsid w:val="008D7F10"/>
    <w:rsid w:val="008E04CA"/>
    <w:rsid w:val="008E1597"/>
    <w:rsid w:val="008E183B"/>
    <w:rsid w:val="008E27FE"/>
    <w:rsid w:val="008E30B3"/>
    <w:rsid w:val="008E6D93"/>
    <w:rsid w:val="008E7051"/>
    <w:rsid w:val="008E7349"/>
    <w:rsid w:val="008E768D"/>
    <w:rsid w:val="008E77F8"/>
    <w:rsid w:val="008F028F"/>
    <w:rsid w:val="008F1C67"/>
    <w:rsid w:val="008F301F"/>
    <w:rsid w:val="008F3CCE"/>
    <w:rsid w:val="008F4FF3"/>
    <w:rsid w:val="008F56AC"/>
    <w:rsid w:val="008F5AD2"/>
    <w:rsid w:val="008F600A"/>
    <w:rsid w:val="008F6464"/>
    <w:rsid w:val="008F6BB3"/>
    <w:rsid w:val="008F7245"/>
    <w:rsid w:val="008F782E"/>
    <w:rsid w:val="00902194"/>
    <w:rsid w:val="009021CC"/>
    <w:rsid w:val="009026A3"/>
    <w:rsid w:val="00903B28"/>
    <w:rsid w:val="009042BF"/>
    <w:rsid w:val="00904491"/>
    <w:rsid w:val="009044F7"/>
    <w:rsid w:val="00904D67"/>
    <w:rsid w:val="00905439"/>
    <w:rsid w:val="009056B2"/>
    <w:rsid w:val="00906294"/>
    <w:rsid w:val="0090631E"/>
    <w:rsid w:val="0090657A"/>
    <w:rsid w:val="00906B49"/>
    <w:rsid w:val="0091024E"/>
    <w:rsid w:val="009102FE"/>
    <w:rsid w:val="00910FD1"/>
    <w:rsid w:val="0091160E"/>
    <w:rsid w:val="0091228C"/>
    <w:rsid w:val="00912C16"/>
    <w:rsid w:val="00913066"/>
    <w:rsid w:val="009131A2"/>
    <w:rsid w:val="009140F0"/>
    <w:rsid w:val="00915ADC"/>
    <w:rsid w:val="0091613E"/>
    <w:rsid w:val="0091694C"/>
    <w:rsid w:val="00916997"/>
    <w:rsid w:val="009169D1"/>
    <w:rsid w:val="0091715D"/>
    <w:rsid w:val="0092020B"/>
    <w:rsid w:val="009209C7"/>
    <w:rsid w:val="009223B5"/>
    <w:rsid w:val="0092288F"/>
    <w:rsid w:val="009238AE"/>
    <w:rsid w:val="009240FE"/>
    <w:rsid w:val="00924282"/>
    <w:rsid w:val="009243C3"/>
    <w:rsid w:val="00924D23"/>
    <w:rsid w:val="00925685"/>
    <w:rsid w:val="00925C60"/>
    <w:rsid w:val="00926960"/>
    <w:rsid w:val="0092767A"/>
    <w:rsid w:val="009306DC"/>
    <w:rsid w:val="009320AD"/>
    <w:rsid w:val="00932997"/>
    <w:rsid w:val="00933272"/>
    <w:rsid w:val="00935137"/>
    <w:rsid w:val="00935C25"/>
    <w:rsid w:val="00937B33"/>
    <w:rsid w:val="009404F9"/>
    <w:rsid w:val="0094126B"/>
    <w:rsid w:val="00941539"/>
    <w:rsid w:val="009429C8"/>
    <w:rsid w:val="009455A0"/>
    <w:rsid w:val="00945675"/>
    <w:rsid w:val="00945899"/>
    <w:rsid w:val="0094613A"/>
    <w:rsid w:val="00946226"/>
    <w:rsid w:val="009464BA"/>
    <w:rsid w:val="0094719A"/>
    <w:rsid w:val="00947651"/>
    <w:rsid w:val="00947BF8"/>
    <w:rsid w:val="00950DFE"/>
    <w:rsid w:val="00952391"/>
    <w:rsid w:val="00952AFB"/>
    <w:rsid w:val="00952F1B"/>
    <w:rsid w:val="00953333"/>
    <w:rsid w:val="009537B6"/>
    <w:rsid w:val="00953C69"/>
    <w:rsid w:val="009568C1"/>
    <w:rsid w:val="00956996"/>
    <w:rsid w:val="009571DB"/>
    <w:rsid w:val="00960B67"/>
    <w:rsid w:val="009612C4"/>
    <w:rsid w:val="00961A09"/>
    <w:rsid w:val="009629B8"/>
    <w:rsid w:val="00963C7F"/>
    <w:rsid w:val="00964044"/>
    <w:rsid w:val="00964079"/>
    <w:rsid w:val="009641F5"/>
    <w:rsid w:val="00964E1A"/>
    <w:rsid w:val="00965B1A"/>
    <w:rsid w:val="00966BE9"/>
    <w:rsid w:val="009674B0"/>
    <w:rsid w:val="00967958"/>
    <w:rsid w:val="00971134"/>
    <w:rsid w:val="00972A9F"/>
    <w:rsid w:val="00973F39"/>
    <w:rsid w:val="00975E24"/>
    <w:rsid w:val="0097606B"/>
    <w:rsid w:val="009762BB"/>
    <w:rsid w:val="00981679"/>
    <w:rsid w:val="0098428D"/>
    <w:rsid w:val="009842C5"/>
    <w:rsid w:val="0098628C"/>
    <w:rsid w:val="0098650E"/>
    <w:rsid w:val="009878A2"/>
    <w:rsid w:val="00987993"/>
    <w:rsid w:val="00987D02"/>
    <w:rsid w:val="00987D2A"/>
    <w:rsid w:val="00990C77"/>
    <w:rsid w:val="009911DA"/>
    <w:rsid w:val="00991300"/>
    <w:rsid w:val="0099152A"/>
    <w:rsid w:val="00991572"/>
    <w:rsid w:val="00992760"/>
    <w:rsid w:val="00992BA7"/>
    <w:rsid w:val="00992D88"/>
    <w:rsid w:val="0099335D"/>
    <w:rsid w:val="009938AC"/>
    <w:rsid w:val="009947C8"/>
    <w:rsid w:val="00995C9C"/>
    <w:rsid w:val="009967E2"/>
    <w:rsid w:val="00997BA8"/>
    <w:rsid w:val="009A0639"/>
    <w:rsid w:val="009A0D57"/>
    <w:rsid w:val="009A15B9"/>
    <w:rsid w:val="009A17E4"/>
    <w:rsid w:val="009A1F55"/>
    <w:rsid w:val="009A280C"/>
    <w:rsid w:val="009A2A45"/>
    <w:rsid w:val="009A405F"/>
    <w:rsid w:val="009A55DB"/>
    <w:rsid w:val="009A7950"/>
    <w:rsid w:val="009B014D"/>
    <w:rsid w:val="009B062B"/>
    <w:rsid w:val="009B07EA"/>
    <w:rsid w:val="009B0DFC"/>
    <w:rsid w:val="009B1A49"/>
    <w:rsid w:val="009B1CED"/>
    <w:rsid w:val="009B255B"/>
    <w:rsid w:val="009B2A29"/>
    <w:rsid w:val="009B4668"/>
    <w:rsid w:val="009B470E"/>
    <w:rsid w:val="009B6991"/>
    <w:rsid w:val="009B7864"/>
    <w:rsid w:val="009B795E"/>
    <w:rsid w:val="009C283F"/>
    <w:rsid w:val="009C309D"/>
    <w:rsid w:val="009C329D"/>
    <w:rsid w:val="009C3333"/>
    <w:rsid w:val="009C5009"/>
    <w:rsid w:val="009C6053"/>
    <w:rsid w:val="009C609C"/>
    <w:rsid w:val="009C6D42"/>
    <w:rsid w:val="009D00FA"/>
    <w:rsid w:val="009D1216"/>
    <w:rsid w:val="009D1232"/>
    <w:rsid w:val="009D127D"/>
    <w:rsid w:val="009D1FCE"/>
    <w:rsid w:val="009D257A"/>
    <w:rsid w:val="009D513C"/>
    <w:rsid w:val="009D60C3"/>
    <w:rsid w:val="009D60F5"/>
    <w:rsid w:val="009D724F"/>
    <w:rsid w:val="009D73D8"/>
    <w:rsid w:val="009E00E3"/>
    <w:rsid w:val="009E0C9C"/>
    <w:rsid w:val="009E0E36"/>
    <w:rsid w:val="009E1616"/>
    <w:rsid w:val="009E3436"/>
    <w:rsid w:val="009E3CA6"/>
    <w:rsid w:val="009E4E09"/>
    <w:rsid w:val="009E5344"/>
    <w:rsid w:val="009E5E8D"/>
    <w:rsid w:val="009E70C3"/>
    <w:rsid w:val="009E7674"/>
    <w:rsid w:val="009E794D"/>
    <w:rsid w:val="009F0CAD"/>
    <w:rsid w:val="009F1204"/>
    <w:rsid w:val="009F1401"/>
    <w:rsid w:val="009F3A4E"/>
    <w:rsid w:val="009F4AF1"/>
    <w:rsid w:val="009F6AF7"/>
    <w:rsid w:val="00A00FE9"/>
    <w:rsid w:val="00A0300B"/>
    <w:rsid w:val="00A0306D"/>
    <w:rsid w:val="00A04401"/>
    <w:rsid w:val="00A0478E"/>
    <w:rsid w:val="00A05453"/>
    <w:rsid w:val="00A05A7F"/>
    <w:rsid w:val="00A05BD3"/>
    <w:rsid w:val="00A05C7F"/>
    <w:rsid w:val="00A06169"/>
    <w:rsid w:val="00A0766A"/>
    <w:rsid w:val="00A1074F"/>
    <w:rsid w:val="00A11073"/>
    <w:rsid w:val="00A12B6B"/>
    <w:rsid w:val="00A12EE6"/>
    <w:rsid w:val="00A15641"/>
    <w:rsid w:val="00A15A0C"/>
    <w:rsid w:val="00A166EE"/>
    <w:rsid w:val="00A17229"/>
    <w:rsid w:val="00A17507"/>
    <w:rsid w:val="00A20E4F"/>
    <w:rsid w:val="00A2135D"/>
    <w:rsid w:val="00A2189A"/>
    <w:rsid w:val="00A2192B"/>
    <w:rsid w:val="00A21DF2"/>
    <w:rsid w:val="00A21F86"/>
    <w:rsid w:val="00A224D9"/>
    <w:rsid w:val="00A225C5"/>
    <w:rsid w:val="00A22A14"/>
    <w:rsid w:val="00A23EAB"/>
    <w:rsid w:val="00A23F49"/>
    <w:rsid w:val="00A24E2A"/>
    <w:rsid w:val="00A24F38"/>
    <w:rsid w:val="00A2603D"/>
    <w:rsid w:val="00A26D24"/>
    <w:rsid w:val="00A312A1"/>
    <w:rsid w:val="00A318E7"/>
    <w:rsid w:val="00A31E93"/>
    <w:rsid w:val="00A332A0"/>
    <w:rsid w:val="00A348A3"/>
    <w:rsid w:val="00A34C9D"/>
    <w:rsid w:val="00A34E3B"/>
    <w:rsid w:val="00A35B28"/>
    <w:rsid w:val="00A36B21"/>
    <w:rsid w:val="00A40808"/>
    <w:rsid w:val="00A41051"/>
    <w:rsid w:val="00A41447"/>
    <w:rsid w:val="00A41F09"/>
    <w:rsid w:val="00A425CF"/>
    <w:rsid w:val="00A43690"/>
    <w:rsid w:val="00A440CA"/>
    <w:rsid w:val="00A44CBC"/>
    <w:rsid w:val="00A45F27"/>
    <w:rsid w:val="00A475E1"/>
    <w:rsid w:val="00A50945"/>
    <w:rsid w:val="00A51C10"/>
    <w:rsid w:val="00A52E21"/>
    <w:rsid w:val="00A53A14"/>
    <w:rsid w:val="00A55453"/>
    <w:rsid w:val="00A55BB7"/>
    <w:rsid w:val="00A55EA2"/>
    <w:rsid w:val="00A5615C"/>
    <w:rsid w:val="00A564DA"/>
    <w:rsid w:val="00A56CB7"/>
    <w:rsid w:val="00A57983"/>
    <w:rsid w:val="00A611F9"/>
    <w:rsid w:val="00A61672"/>
    <w:rsid w:val="00A624C8"/>
    <w:rsid w:val="00A629A5"/>
    <w:rsid w:val="00A63771"/>
    <w:rsid w:val="00A63C26"/>
    <w:rsid w:val="00A653A2"/>
    <w:rsid w:val="00A66085"/>
    <w:rsid w:val="00A703AE"/>
    <w:rsid w:val="00A73922"/>
    <w:rsid w:val="00A757DD"/>
    <w:rsid w:val="00A75824"/>
    <w:rsid w:val="00A759E2"/>
    <w:rsid w:val="00A75D2F"/>
    <w:rsid w:val="00A76F64"/>
    <w:rsid w:val="00A80007"/>
    <w:rsid w:val="00A809F3"/>
    <w:rsid w:val="00A813FD"/>
    <w:rsid w:val="00A845EB"/>
    <w:rsid w:val="00A84ED5"/>
    <w:rsid w:val="00A86D58"/>
    <w:rsid w:val="00A872BC"/>
    <w:rsid w:val="00A90D82"/>
    <w:rsid w:val="00A94786"/>
    <w:rsid w:val="00A948F2"/>
    <w:rsid w:val="00A966BB"/>
    <w:rsid w:val="00A96A17"/>
    <w:rsid w:val="00A96DBF"/>
    <w:rsid w:val="00AA01BC"/>
    <w:rsid w:val="00AA0B88"/>
    <w:rsid w:val="00AA3840"/>
    <w:rsid w:val="00AA3BF6"/>
    <w:rsid w:val="00AA480F"/>
    <w:rsid w:val="00AA4D97"/>
    <w:rsid w:val="00AA52FD"/>
    <w:rsid w:val="00AA593F"/>
    <w:rsid w:val="00AA6474"/>
    <w:rsid w:val="00AA75CD"/>
    <w:rsid w:val="00AA7907"/>
    <w:rsid w:val="00AB1B1E"/>
    <w:rsid w:val="00AB25B3"/>
    <w:rsid w:val="00AB3711"/>
    <w:rsid w:val="00AB3BDF"/>
    <w:rsid w:val="00AB4200"/>
    <w:rsid w:val="00AB48D3"/>
    <w:rsid w:val="00AB686E"/>
    <w:rsid w:val="00AB68AB"/>
    <w:rsid w:val="00AB7A45"/>
    <w:rsid w:val="00AB7BC8"/>
    <w:rsid w:val="00AB7D2F"/>
    <w:rsid w:val="00AC058F"/>
    <w:rsid w:val="00AC096F"/>
    <w:rsid w:val="00AC1ED7"/>
    <w:rsid w:val="00AC29D5"/>
    <w:rsid w:val="00AC2A19"/>
    <w:rsid w:val="00AC4EF8"/>
    <w:rsid w:val="00AC702F"/>
    <w:rsid w:val="00AD0ABB"/>
    <w:rsid w:val="00AD0F6B"/>
    <w:rsid w:val="00AD0FD2"/>
    <w:rsid w:val="00AD1581"/>
    <w:rsid w:val="00AD1A95"/>
    <w:rsid w:val="00AD20A6"/>
    <w:rsid w:val="00AD35B5"/>
    <w:rsid w:val="00AD3C18"/>
    <w:rsid w:val="00AD42BD"/>
    <w:rsid w:val="00AD4761"/>
    <w:rsid w:val="00AD4913"/>
    <w:rsid w:val="00AD4DDF"/>
    <w:rsid w:val="00AD4E02"/>
    <w:rsid w:val="00AD63B5"/>
    <w:rsid w:val="00AD6867"/>
    <w:rsid w:val="00AD6DE7"/>
    <w:rsid w:val="00AD7688"/>
    <w:rsid w:val="00AD7B65"/>
    <w:rsid w:val="00AE041E"/>
    <w:rsid w:val="00AE0521"/>
    <w:rsid w:val="00AE0580"/>
    <w:rsid w:val="00AE05F3"/>
    <w:rsid w:val="00AE139A"/>
    <w:rsid w:val="00AE1C0D"/>
    <w:rsid w:val="00AE2E39"/>
    <w:rsid w:val="00AE3A95"/>
    <w:rsid w:val="00AE3FAB"/>
    <w:rsid w:val="00AE4351"/>
    <w:rsid w:val="00AE45B9"/>
    <w:rsid w:val="00AF0266"/>
    <w:rsid w:val="00AF1F4A"/>
    <w:rsid w:val="00AF2252"/>
    <w:rsid w:val="00AF30E4"/>
    <w:rsid w:val="00AF32DB"/>
    <w:rsid w:val="00AF691B"/>
    <w:rsid w:val="00AF79CE"/>
    <w:rsid w:val="00B001E7"/>
    <w:rsid w:val="00B02482"/>
    <w:rsid w:val="00B02DA2"/>
    <w:rsid w:val="00B03E14"/>
    <w:rsid w:val="00B04017"/>
    <w:rsid w:val="00B05ABE"/>
    <w:rsid w:val="00B069D2"/>
    <w:rsid w:val="00B06ACD"/>
    <w:rsid w:val="00B079B4"/>
    <w:rsid w:val="00B108E5"/>
    <w:rsid w:val="00B10B40"/>
    <w:rsid w:val="00B10C39"/>
    <w:rsid w:val="00B126BD"/>
    <w:rsid w:val="00B129D2"/>
    <w:rsid w:val="00B13A94"/>
    <w:rsid w:val="00B14C46"/>
    <w:rsid w:val="00B15F73"/>
    <w:rsid w:val="00B16059"/>
    <w:rsid w:val="00B1664B"/>
    <w:rsid w:val="00B16A01"/>
    <w:rsid w:val="00B16BE9"/>
    <w:rsid w:val="00B17458"/>
    <w:rsid w:val="00B20FC5"/>
    <w:rsid w:val="00B21189"/>
    <w:rsid w:val="00B22A75"/>
    <w:rsid w:val="00B22C93"/>
    <w:rsid w:val="00B22E2E"/>
    <w:rsid w:val="00B24724"/>
    <w:rsid w:val="00B3140F"/>
    <w:rsid w:val="00B3184F"/>
    <w:rsid w:val="00B31B65"/>
    <w:rsid w:val="00B31D54"/>
    <w:rsid w:val="00B33A8D"/>
    <w:rsid w:val="00B3405D"/>
    <w:rsid w:val="00B353FE"/>
    <w:rsid w:val="00B356AC"/>
    <w:rsid w:val="00B35C0A"/>
    <w:rsid w:val="00B403D1"/>
    <w:rsid w:val="00B4078E"/>
    <w:rsid w:val="00B414ED"/>
    <w:rsid w:val="00B41797"/>
    <w:rsid w:val="00B41D7C"/>
    <w:rsid w:val="00B42BE3"/>
    <w:rsid w:val="00B42F4F"/>
    <w:rsid w:val="00B42FB9"/>
    <w:rsid w:val="00B43D1C"/>
    <w:rsid w:val="00B441E4"/>
    <w:rsid w:val="00B444BF"/>
    <w:rsid w:val="00B50699"/>
    <w:rsid w:val="00B514BE"/>
    <w:rsid w:val="00B51F79"/>
    <w:rsid w:val="00B52017"/>
    <w:rsid w:val="00B52764"/>
    <w:rsid w:val="00B5297C"/>
    <w:rsid w:val="00B5328E"/>
    <w:rsid w:val="00B541F4"/>
    <w:rsid w:val="00B54265"/>
    <w:rsid w:val="00B55290"/>
    <w:rsid w:val="00B552DA"/>
    <w:rsid w:val="00B55A15"/>
    <w:rsid w:val="00B561F3"/>
    <w:rsid w:val="00B602E4"/>
    <w:rsid w:val="00B61041"/>
    <w:rsid w:val="00B61D7B"/>
    <w:rsid w:val="00B62270"/>
    <w:rsid w:val="00B63493"/>
    <w:rsid w:val="00B71DE9"/>
    <w:rsid w:val="00B72473"/>
    <w:rsid w:val="00B72CB4"/>
    <w:rsid w:val="00B73755"/>
    <w:rsid w:val="00B74AF6"/>
    <w:rsid w:val="00B75446"/>
    <w:rsid w:val="00B75767"/>
    <w:rsid w:val="00B7647F"/>
    <w:rsid w:val="00B76A80"/>
    <w:rsid w:val="00B77322"/>
    <w:rsid w:val="00B77897"/>
    <w:rsid w:val="00B77DF4"/>
    <w:rsid w:val="00B803BB"/>
    <w:rsid w:val="00B80AEF"/>
    <w:rsid w:val="00B80B2E"/>
    <w:rsid w:val="00B81941"/>
    <w:rsid w:val="00B819E7"/>
    <w:rsid w:val="00B81A32"/>
    <w:rsid w:val="00B81CCC"/>
    <w:rsid w:val="00B825FB"/>
    <w:rsid w:val="00B83553"/>
    <w:rsid w:val="00B835DE"/>
    <w:rsid w:val="00B83C2D"/>
    <w:rsid w:val="00B8408A"/>
    <w:rsid w:val="00B840DE"/>
    <w:rsid w:val="00B84438"/>
    <w:rsid w:val="00B860F2"/>
    <w:rsid w:val="00B90BF9"/>
    <w:rsid w:val="00B9136E"/>
    <w:rsid w:val="00B9147E"/>
    <w:rsid w:val="00B916BF"/>
    <w:rsid w:val="00B91ABE"/>
    <w:rsid w:val="00B91E16"/>
    <w:rsid w:val="00B924A1"/>
    <w:rsid w:val="00B94143"/>
    <w:rsid w:val="00B94E73"/>
    <w:rsid w:val="00B952DD"/>
    <w:rsid w:val="00B957D2"/>
    <w:rsid w:val="00B97410"/>
    <w:rsid w:val="00B975C1"/>
    <w:rsid w:val="00B9764E"/>
    <w:rsid w:val="00B97B5F"/>
    <w:rsid w:val="00B97D3F"/>
    <w:rsid w:val="00BA0239"/>
    <w:rsid w:val="00BA066C"/>
    <w:rsid w:val="00BA1245"/>
    <w:rsid w:val="00BA255A"/>
    <w:rsid w:val="00BA38E5"/>
    <w:rsid w:val="00BA5F9E"/>
    <w:rsid w:val="00BA62CE"/>
    <w:rsid w:val="00BA6B1F"/>
    <w:rsid w:val="00BA7688"/>
    <w:rsid w:val="00BA790B"/>
    <w:rsid w:val="00BB0097"/>
    <w:rsid w:val="00BB1117"/>
    <w:rsid w:val="00BB114D"/>
    <w:rsid w:val="00BB31FB"/>
    <w:rsid w:val="00BB3D41"/>
    <w:rsid w:val="00BB3E07"/>
    <w:rsid w:val="00BB47CC"/>
    <w:rsid w:val="00BB4800"/>
    <w:rsid w:val="00BB4A67"/>
    <w:rsid w:val="00BB5424"/>
    <w:rsid w:val="00BB597E"/>
    <w:rsid w:val="00BB6195"/>
    <w:rsid w:val="00BB6D6F"/>
    <w:rsid w:val="00BB7B77"/>
    <w:rsid w:val="00BC210C"/>
    <w:rsid w:val="00BC2330"/>
    <w:rsid w:val="00BC24B1"/>
    <w:rsid w:val="00BC4C8F"/>
    <w:rsid w:val="00BC574F"/>
    <w:rsid w:val="00BC7509"/>
    <w:rsid w:val="00BC78F4"/>
    <w:rsid w:val="00BD1E2A"/>
    <w:rsid w:val="00BD3A11"/>
    <w:rsid w:val="00BD591D"/>
    <w:rsid w:val="00BD67AA"/>
    <w:rsid w:val="00BE0E81"/>
    <w:rsid w:val="00BE1534"/>
    <w:rsid w:val="00BE2586"/>
    <w:rsid w:val="00BE2751"/>
    <w:rsid w:val="00BE2BFD"/>
    <w:rsid w:val="00BE3237"/>
    <w:rsid w:val="00BE3ECC"/>
    <w:rsid w:val="00BE42CF"/>
    <w:rsid w:val="00BE4397"/>
    <w:rsid w:val="00BE61AA"/>
    <w:rsid w:val="00BE63AC"/>
    <w:rsid w:val="00BE6B5F"/>
    <w:rsid w:val="00BE71E4"/>
    <w:rsid w:val="00BF0AF3"/>
    <w:rsid w:val="00BF0C14"/>
    <w:rsid w:val="00BF1118"/>
    <w:rsid w:val="00BF13FF"/>
    <w:rsid w:val="00BF24CA"/>
    <w:rsid w:val="00BF29E6"/>
    <w:rsid w:val="00BF2D20"/>
    <w:rsid w:val="00BF34D0"/>
    <w:rsid w:val="00BF50A5"/>
    <w:rsid w:val="00BF6BAE"/>
    <w:rsid w:val="00BF6D55"/>
    <w:rsid w:val="00BF7592"/>
    <w:rsid w:val="00C00175"/>
    <w:rsid w:val="00C012E8"/>
    <w:rsid w:val="00C02BD3"/>
    <w:rsid w:val="00C030FA"/>
    <w:rsid w:val="00C03ABF"/>
    <w:rsid w:val="00C04152"/>
    <w:rsid w:val="00C04736"/>
    <w:rsid w:val="00C054A1"/>
    <w:rsid w:val="00C05747"/>
    <w:rsid w:val="00C057C5"/>
    <w:rsid w:val="00C059B2"/>
    <w:rsid w:val="00C0631E"/>
    <w:rsid w:val="00C07264"/>
    <w:rsid w:val="00C0758D"/>
    <w:rsid w:val="00C077E1"/>
    <w:rsid w:val="00C07AB6"/>
    <w:rsid w:val="00C10D28"/>
    <w:rsid w:val="00C11C61"/>
    <w:rsid w:val="00C12A5D"/>
    <w:rsid w:val="00C12C5A"/>
    <w:rsid w:val="00C14377"/>
    <w:rsid w:val="00C159F2"/>
    <w:rsid w:val="00C162FA"/>
    <w:rsid w:val="00C16657"/>
    <w:rsid w:val="00C171BA"/>
    <w:rsid w:val="00C1727F"/>
    <w:rsid w:val="00C17366"/>
    <w:rsid w:val="00C17B30"/>
    <w:rsid w:val="00C206B2"/>
    <w:rsid w:val="00C20776"/>
    <w:rsid w:val="00C21457"/>
    <w:rsid w:val="00C21F63"/>
    <w:rsid w:val="00C22CA8"/>
    <w:rsid w:val="00C23137"/>
    <w:rsid w:val="00C2353B"/>
    <w:rsid w:val="00C23A35"/>
    <w:rsid w:val="00C23D27"/>
    <w:rsid w:val="00C244E0"/>
    <w:rsid w:val="00C24728"/>
    <w:rsid w:val="00C2692D"/>
    <w:rsid w:val="00C270B0"/>
    <w:rsid w:val="00C27CC1"/>
    <w:rsid w:val="00C307E8"/>
    <w:rsid w:val="00C30BBF"/>
    <w:rsid w:val="00C31657"/>
    <w:rsid w:val="00C3166C"/>
    <w:rsid w:val="00C3295D"/>
    <w:rsid w:val="00C32CC3"/>
    <w:rsid w:val="00C33763"/>
    <w:rsid w:val="00C3388A"/>
    <w:rsid w:val="00C33B0B"/>
    <w:rsid w:val="00C34363"/>
    <w:rsid w:val="00C34980"/>
    <w:rsid w:val="00C37635"/>
    <w:rsid w:val="00C376D9"/>
    <w:rsid w:val="00C40F37"/>
    <w:rsid w:val="00C423DC"/>
    <w:rsid w:val="00C43105"/>
    <w:rsid w:val="00C436C4"/>
    <w:rsid w:val="00C4402A"/>
    <w:rsid w:val="00C45313"/>
    <w:rsid w:val="00C45C23"/>
    <w:rsid w:val="00C4676A"/>
    <w:rsid w:val="00C47BC8"/>
    <w:rsid w:val="00C47D09"/>
    <w:rsid w:val="00C47E50"/>
    <w:rsid w:val="00C47E5A"/>
    <w:rsid w:val="00C501D2"/>
    <w:rsid w:val="00C501E6"/>
    <w:rsid w:val="00C502AB"/>
    <w:rsid w:val="00C5120C"/>
    <w:rsid w:val="00C51D5B"/>
    <w:rsid w:val="00C5205F"/>
    <w:rsid w:val="00C52710"/>
    <w:rsid w:val="00C527B5"/>
    <w:rsid w:val="00C52D0D"/>
    <w:rsid w:val="00C5434F"/>
    <w:rsid w:val="00C54A59"/>
    <w:rsid w:val="00C55EA6"/>
    <w:rsid w:val="00C6099B"/>
    <w:rsid w:val="00C61A45"/>
    <w:rsid w:val="00C62151"/>
    <w:rsid w:val="00C62D61"/>
    <w:rsid w:val="00C6347F"/>
    <w:rsid w:val="00C636FB"/>
    <w:rsid w:val="00C6532B"/>
    <w:rsid w:val="00C65BA9"/>
    <w:rsid w:val="00C664EE"/>
    <w:rsid w:val="00C66ABC"/>
    <w:rsid w:val="00C67631"/>
    <w:rsid w:val="00C703DD"/>
    <w:rsid w:val="00C70845"/>
    <w:rsid w:val="00C70ECF"/>
    <w:rsid w:val="00C71E63"/>
    <w:rsid w:val="00C720B9"/>
    <w:rsid w:val="00C72F8F"/>
    <w:rsid w:val="00C738C2"/>
    <w:rsid w:val="00C74524"/>
    <w:rsid w:val="00C7547B"/>
    <w:rsid w:val="00C75959"/>
    <w:rsid w:val="00C75ABC"/>
    <w:rsid w:val="00C75B25"/>
    <w:rsid w:val="00C75D51"/>
    <w:rsid w:val="00C76659"/>
    <w:rsid w:val="00C77210"/>
    <w:rsid w:val="00C7756E"/>
    <w:rsid w:val="00C77CAE"/>
    <w:rsid w:val="00C77F75"/>
    <w:rsid w:val="00C8124E"/>
    <w:rsid w:val="00C8134C"/>
    <w:rsid w:val="00C8161A"/>
    <w:rsid w:val="00C81FEF"/>
    <w:rsid w:val="00C82260"/>
    <w:rsid w:val="00C82A3E"/>
    <w:rsid w:val="00C82F8F"/>
    <w:rsid w:val="00C83E95"/>
    <w:rsid w:val="00C84B79"/>
    <w:rsid w:val="00C862A9"/>
    <w:rsid w:val="00C87F29"/>
    <w:rsid w:val="00C90668"/>
    <w:rsid w:val="00C90875"/>
    <w:rsid w:val="00C90D62"/>
    <w:rsid w:val="00C90E09"/>
    <w:rsid w:val="00C911E4"/>
    <w:rsid w:val="00C92112"/>
    <w:rsid w:val="00C93F67"/>
    <w:rsid w:val="00C945D8"/>
    <w:rsid w:val="00C95139"/>
    <w:rsid w:val="00C96B77"/>
    <w:rsid w:val="00CA3A75"/>
    <w:rsid w:val="00CA3BB9"/>
    <w:rsid w:val="00CA40E2"/>
    <w:rsid w:val="00CA48C9"/>
    <w:rsid w:val="00CA4E04"/>
    <w:rsid w:val="00CA50B5"/>
    <w:rsid w:val="00CA5998"/>
    <w:rsid w:val="00CA7163"/>
    <w:rsid w:val="00CA756E"/>
    <w:rsid w:val="00CA7587"/>
    <w:rsid w:val="00CA7B9D"/>
    <w:rsid w:val="00CB0B02"/>
    <w:rsid w:val="00CB1133"/>
    <w:rsid w:val="00CB3DE6"/>
    <w:rsid w:val="00CB44B0"/>
    <w:rsid w:val="00CB4E0B"/>
    <w:rsid w:val="00CB507F"/>
    <w:rsid w:val="00CB716E"/>
    <w:rsid w:val="00CC034D"/>
    <w:rsid w:val="00CC1D5F"/>
    <w:rsid w:val="00CC271C"/>
    <w:rsid w:val="00CC49B1"/>
    <w:rsid w:val="00CC5234"/>
    <w:rsid w:val="00CC69F4"/>
    <w:rsid w:val="00CC70A0"/>
    <w:rsid w:val="00CC712F"/>
    <w:rsid w:val="00CC7A47"/>
    <w:rsid w:val="00CC7D06"/>
    <w:rsid w:val="00CD0447"/>
    <w:rsid w:val="00CD1838"/>
    <w:rsid w:val="00CD299F"/>
    <w:rsid w:val="00CD2E18"/>
    <w:rsid w:val="00CD335C"/>
    <w:rsid w:val="00CD79A8"/>
    <w:rsid w:val="00CE04C1"/>
    <w:rsid w:val="00CE0D50"/>
    <w:rsid w:val="00CE1115"/>
    <w:rsid w:val="00CE1848"/>
    <w:rsid w:val="00CE21A3"/>
    <w:rsid w:val="00CE3DD2"/>
    <w:rsid w:val="00CE5122"/>
    <w:rsid w:val="00CE558A"/>
    <w:rsid w:val="00CE64E0"/>
    <w:rsid w:val="00CE6C0A"/>
    <w:rsid w:val="00CF05CE"/>
    <w:rsid w:val="00CF275D"/>
    <w:rsid w:val="00CF5D56"/>
    <w:rsid w:val="00CF6242"/>
    <w:rsid w:val="00D00146"/>
    <w:rsid w:val="00D01346"/>
    <w:rsid w:val="00D01791"/>
    <w:rsid w:val="00D0227B"/>
    <w:rsid w:val="00D0246A"/>
    <w:rsid w:val="00D027C4"/>
    <w:rsid w:val="00D02E7F"/>
    <w:rsid w:val="00D03638"/>
    <w:rsid w:val="00D03939"/>
    <w:rsid w:val="00D05770"/>
    <w:rsid w:val="00D06C83"/>
    <w:rsid w:val="00D06FC1"/>
    <w:rsid w:val="00D0726F"/>
    <w:rsid w:val="00D07A3E"/>
    <w:rsid w:val="00D10A6B"/>
    <w:rsid w:val="00D10BC9"/>
    <w:rsid w:val="00D10FF8"/>
    <w:rsid w:val="00D13316"/>
    <w:rsid w:val="00D211D2"/>
    <w:rsid w:val="00D21BCA"/>
    <w:rsid w:val="00D2215C"/>
    <w:rsid w:val="00D228D6"/>
    <w:rsid w:val="00D249DF"/>
    <w:rsid w:val="00D24D2F"/>
    <w:rsid w:val="00D25E26"/>
    <w:rsid w:val="00D268AD"/>
    <w:rsid w:val="00D27D5E"/>
    <w:rsid w:val="00D30086"/>
    <w:rsid w:val="00D30F99"/>
    <w:rsid w:val="00D31288"/>
    <w:rsid w:val="00D323E5"/>
    <w:rsid w:val="00D32C43"/>
    <w:rsid w:val="00D34330"/>
    <w:rsid w:val="00D3476F"/>
    <w:rsid w:val="00D347DC"/>
    <w:rsid w:val="00D349BA"/>
    <w:rsid w:val="00D34E06"/>
    <w:rsid w:val="00D354E6"/>
    <w:rsid w:val="00D35F92"/>
    <w:rsid w:val="00D3642C"/>
    <w:rsid w:val="00D369C2"/>
    <w:rsid w:val="00D369F2"/>
    <w:rsid w:val="00D379AD"/>
    <w:rsid w:val="00D37DF6"/>
    <w:rsid w:val="00D40998"/>
    <w:rsid w:val="00D40CEC"/>
    <w:rsid w:val="00D40D3B"/>
    <w:rsid w:val="00D412BB"/>
    <w:rsid w:val="00D41649"/>
    <w:rsid w:val="00D422EE"/>
    <w:rsid w:val="00D42540"/>
    <w:rsid w:val="00D42E70"/>
    <w:rsid w:val="00D440CB"/>
    <w:rsid w:val="00D444B5"/>
    <w:rsid w:val="00D4524D"/>
    <w:rsid w:val="00D45B3E"/>
    <w:rsid w:val="00D46017"/>
    <w:rsid w:val="00D462A7"/>
    <w:rsid w:val="00D4684D"/>
    <w:rsid w:val="00D473A8"/>
    <w:rsid w:val="00D47B14"/>
    <w:rsid w:val="00D47BDD"/>
    <w:rsid w:val="00D47C24"/>
    <w:rsid w:val="00D5068C"/>
    <w:rsid w:val="00D50A02"/>
    <w:rsid w:val="00D50C45"/>
    <w:rsid w:val="00D519D6"/>
    <w:rsid w:val="00D51E0A"/>
    <w:rsid w:val="00D52046"/>
    <w:rsid w:val="00D52E16"/>
    <w:rsid w:val="00D53C57"/>
    <w:rsid w:val="00D5421E"/>
    <w:rsid w:val="00D549CB"/>
    <w:rsid w:val="00D54D6C"/>
    <w:rsid w:val="00D55577"/>
    <w:rsid w:val="00D56335"/>
    <w:rsid w:val="00D563A6"/>
    <w:rsid w:val="00D57020"/>
    <w:rsid w:val="00D60223"/>
    <w:rsid w:val="00D60DDF"/>
    <w:rsid w:val="00D62316"/>
    <w:rsid w:val="00D62345"/>
    <w:rsid w:val="00D62B39"/>
    <w:rsid w:val="00D63A0E"/>
    <w:rsid w:val="00D63C68"/>
    <w:rsid w:val="00D6413E"/>
    <w:rsid w:val="00D6455C"/>
    <w:rsid w:val="00D647C3"/>
    <w:rsid w:val="00D64AC4"/>
    <w:rsid w:val="00D64CBC"/>
    <w:rsid w:val="00D64F90"/>
    <w:rsid w:val="00D651BF"/>
    <w:rsid w:val="00D704CB"/>
    <w:rsid w:val="00D70847"/>
    <w:rsid w:val="00D7143E"/>
    <w:rsid w:val="00D72AF5"/>
    <w:rsid w:val="00D72E50"/>
    <w:rsid w:val="00D73084"/>
    <w:rsid w:val="00D73E26"/>
    <w:rsid w:val="00D745B3"/>
    <w:rsid w:val="00D746E5"/>
    <w:rsid w:val="00D74949"/>
    <w:rsid w:val="00D74B2B"/>
    <w:rsid w:val="00D75615"/>
    <w:rsid w:val="00D75A38"/>
    <w:rsid w:val="00D76FA8"/>
    <w:rsid w:val="00D81671"/>
    <w:rsid w:val="00D83932"/>
    <w:rsid w:val="00D8444A"/>
    <w:rsid w:val="00D84DC8"/>
    <w:rsid w:val="00D85627"/>
    <w:rsid w:val="00D86B17"/>
    <w:rsid w:val="00D86E0B"/>
    <w:rsid w:val="00D90E2C"/>
    <w:rsid w:val="00D915DD"/>
    <w:rsid w:val="00D91C43"/>
    <w:rsid w:val="00D929B3"/>
    <w:rsid w:val="00D93357"/>
    <w:rsid w:val="00D93C2E"/>
    <w:rsid w:val="00D941F4"/>
    <w:rsid w:val="00D952B0"/>
    <w:rsid w:val="00D9597C"/>
    <w:rsid w:val="00D95EDD"/>
    <w:rsid w:val="00D974A5"/>
    <w:rsid w:val="00DA178E"/>
    <w:rsid w:val="00DA28B7"/>
    <w:rsid w:val="00DA3367"/>
    <w:rsid w:val="00DA3431"/>
    <w:rsid w:val="00DA39AC"/>
    <w:rsid w:val="00DA3CC8"/>
    <w:rsid w:val="00DA3E55"/>
    <w:rsid w:val="00DA428C"/>
    <w:rsid w:val="00DA4C90"/>
    <w:rsid w:val="00DA62C2"/>
    <w:rsid w:val="00DA6B03"/>
    <w:rsid w:val="00DA6DED"/>
    <w:rsid w:val="00DB03E9"/>
    <w:rsid w:val="00DB1ADF"/>
    <w:rsid w:val="00DB20B9"/>
    <w:rsid w:val="00DB3240"/>
    <w:rsid w:val="00DB339C"/>
    <w:rsid w:val="00DB356B"/>
    <w:rsid w:val="00DB4A7F"/>
    <w:rsid w:val="00DB4F29"/>
    <w:rsid w:val="00DB56CF"/>
    <w:rsid w:val="00DB5ECA"/>
    <w:rsid w:val="00DB626A"/>
    <w:rsid w:val="00DB6416"/>
    <w:rsid w:val="00DB7264"/>
    <w:rsid w:val="00DC04A2"/>
    <w:rsid w:val="00DC0CB0"/>
    <w:rsid w:val="00DC1806"/>
    <w:rsid w:val="00DC2D62"/>
    <w:rsid w:val="00DC2EBB"/>
    <w:rsid w:val="00DC3FE6"/>
    <w:rsid w:val="00DC4576"/>
    <w:rsid w:val="00DC4D47"/>
    <w:rsid w:val="00DC541C"/>
    <w:rsid w:val="00DC5679"/>
    <w:rsid w:val="00DC6079"/>
    <w:rsid w:val="00DC63EB"/>
    <w:rsid w:val="00DC704D"/>
    <w:rsid w:val="00DC7C7F"/>
    <w:rsid w:val="00DD078E"/>
    <w:rsid w:val="00DD0D94"/>
    <w:rsid w:val="00DD14A3"/>
    <w:rsid w:val="00DD1574"/>
    <w:rsid w:val="00DD2A37"/>
    <w:rsid w:val="00DD3043"/>
    <w:rsid w:val="00DD36E9"/>
    <w:rsid w:val="00DD3A24"/>
    <w:rsid w:val="00DD4D3E"/>
    <w:rsid w:val="00DD504D"/>
    <w:rsid w:val="00DD6D5F"/>
    <w:rsid w:val="00DE034D"/>
    <w:rsid w:val="00DE067F"/>
    <w:rsid w:val="00DE0CBD"/>
    <w:rsid w:val="00DE1313"/>
    <w:rsid w:val="00DE2334"/>
    <w:rsid w:val="00DE320E"/>
    <w:rsid w:val="00DE38D0"/>
    <w:rsid w:val="00DE39F9"/>
    <w:rsid w:val="00DE3E13"/>
    <w:rsid w:val="00DE671F"/>
    <w:rsid w:val="00DE6BFE"/>
    <w:rsid w:val="00DE74BA"/>
    <w:rsid w:val="00DF2ACA"/>
    <w:rsid w:val="00DF41B3"/>
    <w:rsid w:val="00DF47BB"/>
    <w:rsid w:val="00DF48F7"/>
    <w:rsid w:val="00DF510E"/>
    <w:rsid w:val="00DF5C76"/>
    <w:rsid w:val="00DF60ED"/>
    <w:rsid w:val="00DF67C8"/>
    <w:rsid w:val="00DF7106"/>
    <w:rsid w:val="00DF7F91"/>
    <w:rsid w:val="00E00DD0"/>
    <w:rsid w:val="00E01C2C"/>
    <w:rsid w:val="00E01D61"/>
    <w:rsid w:val="00E02154"/>
    <w:rsid w:val="00E0368B"/>
    <w:rsid w:val="00E0464C"/>
    <w:rsid w:val="00E049AE"/>
    <w:rsid w:val="00E056F5"/>
    <w:rsid w:val="00E05C2A"/>
    <w:rsid w:val="00E062B6"/>
    <w:rsid w:val="00E07320"/>
    <w:rsid w:val="00E07460"/>
    <w:rsid w:val="00E0758C"/>
    <w:rsid w:val="00E07E65"/>
    <w:rsid w:val="00E10804"/>
    <w:rsid w:val="00E1087F"/>
    <w:rsid w:val="00E10D12"/>
    <w:rsid w:val="00E11E9B"/>
    <w:rsid w:val="00E126F5"/>
    <w:rsid w:val="00E13C61"/>
    <w:rsid w:val="00E1518C"/>
    <w:rsid w:val="00E15C01"/>
    <w:rsid w:val="00E16FE5"/>
    <w:rsid w:val="00E2071B"/>
    <w:rsid w:val="00E20C47"/>
    <w:rsid w:val="00E20EEB"/>
    <w:rsid w:val="00E20F77"/>
    <w:rsid w:val="00E218B8"/>
    <w:rsid w:val="00E21EA8"/>
    <w:rsid w:val="00E22736"/>
    <w:rsid w:val="00E22F56"/>
    <w:rsid w:val="00E24E43"/>
    <w:rsid w:val="00E25020"/>
    <w:rsid w:val="00E252FD"/>
    <w:rsid w:val="00E25F18"/>
    <w:rsid w:val="00E2651E"/>
    <w:rsid w:val="00E302ED"/>
    <w:rsid w:val="00E30305"/>
    <w:rsid w:val="00E314E6"/>
    <w:rsid w:val="00E31E7C"/>
    <w:rsid w:val="00E323D1"/>
    <w:rsid w:val="00E32D16"/>
    <w:rsid w:val="00E33C0B"/>
    <w:rsid w:val="00E33E19"/>
    <w:rsid w:val="00E3767E"/>
    <w:rsid w:val="00E4052E"/>
    <w:rsid w:val="00E42E41"/>
    <w:rsid w:val="00E43422"/>
    <w:rsid w:val="00E46FAE"/>
    <w:rsid w:val="00E472B4"/>
    <w:rsid w:val="00E473AC"/>
    <w:rsid w:val="00E477BD"/>
    <w:rsid w:val="00E47F55"/>
    <w:rsid w:val="00E50781"/>
    <w:rsid w:val="00E51507"/>
    <w:rsid w:val="00E527A4"/>
    <w:rsid w:val="00E53E96"/>
    <w:rsid w:val="00E543DF"/>
    <w:rsid w:val="00E5513A"/>
    <w:rsid w:val="00E55BFA"/>
    <w:rsid w:val="00E5709A"/>
    <w:rsid w:val="00E578B3"/>
    <w:rsid w:val="00E61B21"/>
    <w:rsid w:val="00E61D71"/>
    <w:rsid w:val="00E621A8"/>
    <w:rsid w:val="00E62E3A"/>
    <w:rsid w:val="00E6321E"/>
    <w:rsid w:val="00E6341A"/>
    <w:rsid w:val="00E6390E"/>
    <w:rsid w:val="00E676A5"/>
    <w:rsid w:val="00E67AF6"/>
    <w:rsid w:val="00E67D09"/>
    <w:rsid w:val="00E70425"/>
    <w:rsid w:val="00E7173F"/>
    <w:rsid w:val="00E71CD3"/>
    <w:rsid w:val="00E7261D"/>
    <w:rsid w:val="00E72F89"/>
    <w:rsid w:val="00E73494"/>
    <w:rsid w:val="00E73514"/>
    <w:rsid w:val="00E73E6C"/>
    <w:rsid w:val="00E74A4F"/>
    <w:rsid w:val="00E75603"/>
    <w:rsid w:val="00E7577E"/>
    <w:rsid w:val="00E75AE1"/>
    <w:rsid w:val="00E7730B"/>
    <w:rsid w:val="00E77E6C"/>
    <w:rsid w:val="00E80B4E"/>
    <w:rsid w:val="00E812CA"/>
    <w:rsid w:val="00E81C29"/>
    <w:rsid w:val="00E82B5B"/>
    <w:rsid w:val="00E831BF"/>
    <w:rsid w:val="00E833CC"/>
    <w:rsid w:val="00E84402"/>
    <w:rsid w:val="00E8455E"/>
    <w:rsid w:val="00E86930"/>
    <w:rsid w:val="00E8768F"/>
    <w:rsid w:val="00E87901"/>
    <w:rsid w:val="00E87B8A"/>
    <w:rsid w:val="00E87FBA"/>
    <w:rsid w:val="00E901F5"/>
    <w:rsid w:val="00E90767"/>
    <w:rsid w:val="00E90F0E"/>
    <w:rsid w:val="00E91211"/>
    <w:rsid w:val="00E91696"/>
    <w:rsid w:val="00E925CF"/>
    <w:rsid w:val="00E92790"/>
    <w:rsid w:val="00E93622"/>
    <w:rsid w:val="00E9373E"/>
    <w:rsid w:val="00E9383E"/>
    <w:rsid w:val="00E94210"/>
    <w:rsid w:val="00E9563B"/>
    <w:rsid w:val="00E95954"/>
    <w:rsid w:val="00E96683"/>
    <w:rsid w:val="00E96DFA"/>
    <w:rsid w:val="00E97950"/>
    <w:rsid w:val="00EA0AA2"/>
    <w:rsid w:val="00EA14F0"/>
    <w:rsid w:val="00EA23A4"/>
    <w:rsid w:val="00EA24CD"/>
    <w:rsid w:val="00EA2619"/>
    <w:rsid w:val="00EA2F4C"/>
    <w:rsid w:val="00EA472C"/>
    <w:rsid w:val="00EA4D79"/>
    <w:rsid w:val="00EA5AE7"/>
    <w:rsid w:val="00EA6456"/>
    <w:rsid w:val="00EA658A"/>
    <w:rsid w:val="00EA6D65"/>
    <w:rsid w:val="00EA6E21"/>
    <w:rsid w:val="00EA7411"/>
    <w:rsid w:val="00EA7512"/>
    <w:rsid w:val="00EA7E7F"/>
    <w:rsid w:val="00EB1DF8"/>
    <w:rsid w:val="00EB2026"/>
    <w:rsid w:val="00EB2DE4"/>
    <w:rsid w:val="00EB2FCD"/>
    <w:rsid w:val="00EB3660"/>
    <w:rsid w:val="00EB4DF7"/>
    <w:rsid w:val="00EB4E20"/>
    <w:rsid w:val="00EB5976"/>
    <w:rsid w:val="00EB5977"/>
    <w:rsid w:val="00EB5A59"/>
    <w:rsid w:val="00EB5DE9"/>
    <w:rsid w:val="00EB68C2"/>
    <w:rsid w:val="00EB6F0B"/>
    <w:rsid w:val="00EB7246"/>
    <w:rsid w:val="00EB748B"/>
    <w:rsid w:val="00EC0094"/>
    <w:rsid w:val="00EC07BE"/>
    <w:rsid w:val="00EC138E"/>
    <w:rsid w:val="00EC18E7"/>
    <w:rsid w:val="00EC3FCE"/>
    <w:rsid w:val="00EC4915"/>
    <w:rsid w:val="00EC50C4"/>
    <w:rsid w:val="00EC54DC"/>
    <w:rsid w:val="00EC55F7"/>
    <w:rsid w:val="00EC5D3C"/>
    <w:rsid w:val="00EC750C"/>
    <w:rsid w:val="00EC7839"/>
    <w:rsid w:val="00ED0B2E"/>
    <w:rsid w:val="00ED0BFA"/>
    <w:rsid w:val="00ED1456"/>
    <w:rsid w:val="00ED1794"/>
    <w:rsid w:val="00ED38D3"/>
    <w:rsid w:val="00ED3AA4"/>
    <w:rsid w:val="00ED41BF"/>
    <w:rsid w:val="00ED5361"/>
    <w:rsid w:val="00ED5BE4"/>
    <w:rsid w:val="00ED6460"/>
    <w:rsid w:val="00ED6D98"/>
    <w:rsid w:val="00EE05D5"/>
    <w:rsid w:val="00EE2DAF"/>
    <w:rsid w:val="00EE355E"/>
    <w:rsid w:val="00EE4061"/>
    <w:rsid w:val="00EE559B"/>
    <w:rsid w:val="00EE5B52"/>
    <w:rsid w:val="00EE6E37"/>
    <w:rsid w:val="00EE7659"/>
    <w:rsid w:val="00EF0CBA"/>
    <w:rsid w:val="00EF1724"/>
    <w:rsid w:val="00EF2AA4"/>
    <w:rsid w:val="00EF3B17"/>
    <w:rsid w:val="00EF40B8"/>
    <w:rsid w:val="00EF48AE"/>
    <w:rsid w:val="00EF681C"/>
    <w:rsid w:val="00EF6C1F"/>
    <w:rsid w:val="00EF7C9C"/>
    <w:rsid w:val="00F00425"/>
    <w:rsid w:val="00F010E4"/>
    <w:rsid w:val="00F01F82"/>
    <w:rsid w:val="00F04272"/>
    <w:rsid w:val="00F04AF1"/>
    <w:rsid w:val="00F05491"/>
    <w:rsid w:val="00F06039"/>
    <w:rsid w:val="00F06417"/>
    <w:rsid w:val="00F0691B"/>
    <w:rsid w:val="00F06FAE"/>
    <w:rsid w:val="00F10102"/>
    <w:rsid w:val="00F101AE"/>
    <w:rsid w:val="00F10459"/>
    <w:rsid w:val="00F104B7"/>
    <w:rsid w:val="00F10AE7"/>
    <w:rsid w:val="00F12E2D"/>
    <w:rsid w:val="00F13166"/>
    <w:rsid w:val="00F14ACF"/>
    <w:rsid w:val="00F14E1D"/>
    <w:rsid w:val="00F16C07"/>
    <w:rsid w:val="00F170E7"/>
    <w:rsid w:val="00F203C8"/>
    <w:rsid w:val="00F223A0"/>
    <w:rsid w:val="00F23844"/>
    <w:rsid w:val="00F259BE"/>
    <w:rsid w:val="00F266C2"/>
    <w:rsid w:val="00F2680D"/>
    <w:rsid w:val="00F27C85"/>
    <w:rsid w:val="00F30525"/>
    <w:rsid w:val="00F308E0"/>
    <w:rsid w:val="00F31316"/>
    <w:rsid w:val="00F31AD4"/>
    <w:rsid w:val="00F333B7"/>
    <w:rsid w:val="00F34FC1"/>
    <w:rsid w:val="00F365B3"/>
    <w:rsid w:val="00F37D1A"/>
    <w:rsid w:val="00F40E0E"/>
    <w:rsid w:val="00F4116F"/>
    <w:rsid w:val="00F41A94"/>
    <w:rsid w:val="00F441B9"/>
    <w:rsid w:val="00F45B89"/>
    <w:rsid w:val="00F46DF9"/>
    <w:rsid w:val="00F475DE"/>
    <w:rsid w:val="00F47678"/>
    <w:rsid w:val="00F4785E"/>
    <w:rsid w:val="00F47D98"/>
    <w:rsid w:val="00F50E3F"/>
    <w:rsid w:val="00F51160"/>
    <w:rsid w:val="00F52721"/>
    <w:rsid w:val="00F52BD6"/>
    <w:rsid w:val="00F52C8F"/>
    <w:rsid w:val="00F5389F"/>
    <w:rsid w:val="00F53C36"/>
    <w:rsid w:val="00F54491"/>
    <w:rsid w:val="00F5476D"/>
    <w:rsid w:val="00F55AFF"/>
    <w:rsid w:val="00F55C06"/>
    <w:rsid w:val="00F5646C"/>
    <w:rsid w:val="00F56950"/>
    <w:rsid w:val="00F56F29"/>
    <w:rsid w:val="00F572D0"/>
    <w:rsid w:val="00F61F55"/>
    <w:rsid w:val="00F63209"/>
    <w:rsid w:val="00F63A32"/>
    <w:rsid w:val="00F63B8E"/>
    <w:rsid w:val="00F641BC"/>
    <w:rsid w:val="00F65E42"/>
    <w:rsid w:val="00F66485"/>
    <w:rsid w:val="00F66A0D"/>
    <w:rsid w:val="00F67702"/>
    <w:rsid w:val="00F700AE"/>
    <w:rsid w:val="00F70123"/>
    <w:rsid w:val="00F70632"/>
    <w:rsid w:val="00F71998"/>
    <w:rsid w:val="00F719DE"/>
    <w:rsid w:val="00F723CD"/>
    <w:rsid w:val="00F746D1"/>
    <w:rsid w:val="00F7495A"/>
    <w:rsid w:val="00F74B13"/>
    <w:rsid w:val="00F74F47"/>
    <w:rsid w:val="00F7575E"/>
    <w:rsid w:val="00F75CBF"/>
    <w:rsid w:val="00F77DF4"/>
    <w:rsid w:val="00F77F33"/>
    <w:rsid w:val="00F80198"/>
    <w:rsid w:val="00F81094"/>
    <w:rsid w:val="00F81375"/>
    <w:rsid w:val="00F817FE"/>
    <w:rsid w:val="00F81DF1"/>
    <w:rsid w:val="00F82903"/>
    <w:rsid w:val="00F83201"/>
    <w:rsid w:val="00F832CF"/>
    <w:rsid w:val="00F834A0"/>
    <w:rsid w:val="00F83AED"/>
    <w:rsid w:val="00F83CE1"/>
    <w:rsid w:val="00F854CF"/>
    <w:rsid w:val="00F85886"/>
    <w:rsid w:val="00F8612F"/>
    <w:rsid w:val="00F86316"/>
    <w:rsid w:val="00F86365"/>
    <w:rsid w:val="00F91DD2"/>
    <w:rsid w:val="00F93117"/>
    <w:rsid w:val="00F93CFC"/>
    <w:rsid w:val="00F94E93"/>
    <w:rsid w:val="00FA19C4"/>
    <w:rsid w:val="00FA1DC2"/>
    <w:rsid w:val="00FA34F0"/>
    <w:rsid w:val="00FA467A"/>
    <w:rsid w:val="00FA4816"/>
    <w:rsid w:val="00FA4B84"/>
    <w:rsid w:val="00FA4C55"/>
    <w:rsid w:val="00FA6169"/>
    <w:rsid w:val="00FA6AA2"/>
    <w:rsid w:val="00FB0825"/>
    <w:rsid w:val="00FB10C5"/>
    <w:rsid w:val="00FB14D5"/>
    <w:rsid w:val="00FB1D86"/>
    <w:rsid w:val="00FB2D45"/>
    <w:rsid w:val="00FB655C"/>
    <w:rsid w:val="00FB6EDC"/>
    <w:rsid w:val="00FC00A7"/>
    <w:rsid w:val="00FC02BF"/>
    <w:rsid w:val="00FC1610"/>
    <w:rsid w:val="00FC2B6D"/>
    <w:rsid w:val="00FC4CAE"/>
    <w:rsid w:val="00FC5498"/>
    <w:rsid w:val="00FC5869"/>
    <w:rsid w:val="00FC5C90"/>
    <w:rsid w:val="00FC5D1D"/>
    <w:rsid w:val="00FC71A3"/>
    <w:rsid w:val="00FC72FA"/>
    <w:rsid w:val="00FD0347"/>
    <w:rsid w:val="00FD0DC6"/>
    <w:rsid w:val="00FD0E4C"/>
    <w:rsid w:val="00FD1241"/>
    <w:rsid w:val="00FD223E"/>
    <w:rsid w:val="00FD2C11"/>
    <w:rsid w:val="00FD2D00"/>
    <w:rsid w:val="00FD2F9E"/>
    <w:rsid w:val="00FD38B1"/>
    <w:rsid w:val="00FD49F5"/>
    <w:rsid w:val="00FD4C11"/>
    <w:rsid w:val="00FD6620"/>
    <w:rsid w:val="00FD74F4"/>
    <w:rsid w:val="00FD7AC6"/>
    <w:rsid w:val="00FE01FD"/>
    <w:rsid w:val="00FE0414"/>
    <w:rsid w:val="00FE09D5"/>
    <w:rsid w:val="00FE0D0F"/>
    <w:rsid w:val="00FE3406"/>
    <w:rsid w:val="00FE46C1"/>
    <w:rsid w:val="00FE4C4C"/>
    <w:rsid w:val="00FE50CC"/>
    <w:rsid w:val="00FE62FD"/>
    <w:rsid w:val="00FE662B"/>
    <w:rsid w:val="00FE6BD4"/>
    <w:rsid w:val="00FF0527"/>
    <w:rsid w:val="00FF1F09"/>
    <w:rsid w:val="00FF2864"/>
    <w:rsid w:val="00FF2CAB"/>
    <w:rsid w:val="00FF339B"/>
    <w:rsid w:val="00FF38EA"/>
    <w:rsid w:val="00FF3E64"/>
    <w:rsid w:val="00FF5265"/>
    <w:rsid w:val="00FF5340"/>
    <w:rsid w:val="00FF5830"/>
    <w:rsid w:val="00FF7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0699"/>
    <w:rPr>
      <w:sz w:val="24"/>
      <w:szCs w:val="24"/>
    </w:rPr>
  </w:style>
  <w:style w:type="paragraph" w:styleId="1">
    <w:name w:val="heading 1"/>
    <w:basedOn w:val="a"/>
    <w:next w:val="a"/>
    <w:link w:val="10"/>
    <w:qFormat/>
    <w:rsid w:val="00B84438"/>
    <w:pPr>
      <w:keepNext/>
      <w:spacing w:before="240" w:after="60"/>
      <w:outlineLvl w:val="0"/>
    </w:pPr>
    <w:rPr>
      <w:rFonts w:ascii="Arial" w:hAnsi="Arial" w:cs="Arial"/>
      <w:b/>
      <w:bCs/>
      <w:kern w:val="32"/>
      <w:sz w:val="32"/>
      <w:szCs w:val="32"/>
    </w:rPr>
  </w:style>
  <w:style w:type="paragraph" w:styleId="2">
    <w:name w:val="heading 2"/>
    <w:basedOn w:val="a"/>
    <w:next w:val="a"/>
    <w:qFormat/>
    <w:rsid w:val="00EF3B17"/>
    <w:pPr>
      <w:keepNext/>
      <w:spacing w:before="240" w:after="60"/>
      <w:outlineLvl w:val="1"/>
    </w:pPr>
    <w:rPr>
      <w:rFonts w:ascii="Arial" w:hAnsi="Arial" w:cs="Arial"/>
      <w:b/>
      <w:bCs/>
      <w:i/>
      <w:iCs/>
      <w:sz w:val="28"/>
      <w:szCs w:val="28"/>
    </w:rPr>
  </w:style>
  <w:style w:type="paragraph" w:styleId="3">
    <w:name w:val="heading 3"/>
    <w:basedOn w:val="a"/>
    <w:next w:val="a"/>
    <w:qFormat/>
    <w:rsid w:val="002B6097"/>
    <w:pPr>
      <w:keepNext/>
      <w:spacing w:before="240" w:after="60"/>
      <w:outlineLvl w:val="2"/>
    </w:pPr>
    <w:rPr>
      <w:rFonts w:ascii="Arial" w:hAnsi="Arial" w:cs="Arial"/>
      <w:b/>
      <w:bCs/>
      <w:sz w:val="26"/>
      <w:szCs w:val="26"/>
    </w:rPr>
  </w:style>
  <w:style w:type="paragraph" w:styleId="4">
    <w:name w:val="heading 4"/>
    <w:basedOn w:val="a"/>
    <w:next w:val="a"/>
    <w:qFormat/>
    <w:rsid w:val="00E53E96"/>
    <w:pPr>
      <w:keepNext/>
      <w:spacing w:before="240" w:after="60"/>
      <w:outlineLvl w:val="3"/>
    </w:pPr>
    <w:rPr>
      <w:b/>
      <w:bCs/>
      <w:sz w:val="28"/>
      <w:szCs w:val="28"/>
    </w:rPr>
  </w:style>
  <w:style w:type="paragraph" w:styleId="6">
    <w:name w:val="heading 6"/>
    <w:basedOn w:val="a"/>
    <w:next w:val="a"/>
    <w:qFormat/>
    <w:rsid w:val="00E53E96"/>
    <w:pPr>
      <w:spacing w:before="240" w:after="60"/>
      <w:outlineLvl w:val="5"/>
    </w:pPr>
    <w:rPr>
      <w:b/>
      <w:bCs/>
      <w:sz w:val="22"/>
      <w:szCs w:val="22"/>
    </w:rPr>
  </w:style>
  <w:style w:type="paragraph" w:styleId="7">
    <w:name w:val="heading 7"/>
    <w:basedOn w:val="a"/>
    <w:next w:val="a"/>
    <w:qFormat/>
    <w:rsid w:val="00A12B6B"/>
    <w:pPr>
      <w:keepNext/>
      <w:ind w:left="2127" w:firstLine="709"/>
      <w:jc w:val="center"/>
      <w:outlineLvl w:val="6"/>
    </w:pPr>
    <w:rPr>
      <w:rFonts w:ascii="FreeSetCTT" w:hAnsi="FreeSetCTT"/>
      <w:b/>
      <w:bCs/>
    </w:rPr>
  </w:style>
  <w:style w:type="paragraph" w:styleId="8">
    <w:name w:val="heading 8"/>
    <w:basedOn w:val="a"/>
    <w:next w:val="a"/>
    <w:qFormat/>
    <w:rsid w:val="00E53E96"/>
    <w:pPr>
      <w:spacing w:before="240" w:after="60"/>
      <w:outlineLvl w:val="7"/>
    </w:pPr>
    <w:rPr>
      <w:i/>
      <w:iCs/>
    </w:rPr>
  </w:style>
  <w:style w:type="paragraph" w:styleId="9">
    <w:name w:val="heading 9"/>
    <w:basedOn w:val="a"/>
    <w:next w:val="a"/>
    <w:qFormat/>
    <w:rsid w:val="00E53E96"/>
    <w:pPr>
      <w:spacing w:before="240" w:after="60"/>
      <w:outlineLvl w:val="8"/>
    </w:pPr>
    <w:rPr>
      <w:rFonts w:ascii="Arial" w:hAnsi="Arial"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12">
    <w:name w:val="Стиль Заголовок 1 + 12 пт"/>
    <w:basedOn w:val="1"/>
    <w:rsid w:val="00B84438"/>
    <w:pPr>
      <w:jc w:val="center"/>
    </w:pPr>
    <w:rPr>
      <w:sz w:val="24"/>
    </w:rPr>
  </w:style>
  <w:style w:type="paragraph" w:customStyle="1" w:styleId="Arial">
    <w:name w:val="Стиль Рег_текст + Arial"/>
    <w:basedOn w:val="a"/>
    <w:rsid w:val="00B84438"/>
    <w:pPr>
      <w:spacing w:before="120"/>
      <w:jc w:val="both"/>
    </w:pPr>
    <w:rPr>
      <w:rFonts w:ascii="Arial" w:hAnsi="Arial"/>
    </w:rPr>
  </w:style>
  <w:style w:type="table" w:styleId="a3">
    <w:name w:val="Table Grid"/>
    <w:basedOn w:val="a1"/>
    <w:rsid w:val="00A75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qFormat/>
    <w:rsid w:val="00A12B6B"/>
    <w:pPr>
      <w:jc w:val="center"/>
    </w:pPr>
    <w:rPr>
      <w:b/>
      <w:bCs/>
      <w:sz w:val="28"/>
    </w:rPr>
  </w:style>
  <w:style w:type="paragraph" w:styleId="a5">
    <w:name w:val="Body Text"/>
    <w:basedOn w:val="a"/>
    <w:rsid w:val="00A12B6B"/>
    <w:pPr>
      <w:jc w:val="center"/>
    </w:pPr>
    <w:rPr>
      <w:rFonts w:ascii="FreeSetCTT" w:hAnsi="FreeSetCTT"/>
      <w:b/>
      <w:bCs/>
      <w:sz w:val="36"/>
    </w:rPr>
  </w:style>
  <w:style w:type="paragraph" w:styleId="a6">
    <w:name w:val="Balloon Text"/>
    <w:basedOn w:val="a"/>
    <w:semiHidden/>
    <w:rsid w:val="00A12B6B"/>
    <w:rPr>
      <w:rFonts w:ascii="Tahoma" w:hAnsi="Tahoma" w:cs="Tahoma"/>
      <w:sz w:val="16"/>
      <w:szCs w:val="16"/>
    </w:rPr>
  </w:style>
  <w:style w:type="character" w:styleId="a7">
    <w:name w:val="Hyperlink"/>
    <w:uiPriority w:val="99"/>
    <w:rsid w:val="00A12B6B"/>
    <w:rPr>
      <w:color w:val="0000FF"/>
      <w:u w:val="single"/>
    </w:rPr>
  </w:style>
  <w:style w:type="paragraph" w:styleId="11">
    <w:name w:val="toc 1"/>
    <w:basedOn w:val="a"/>
    <w:next w:val="a"/>
    <w:autoRedefine/>
    <w:uiPriority w:val="39"/>
    <w:rsid w:val="007E0C0E"/>
    <w:pPr>
      <w:spacing w:before="120"/>
    </w:pPr>
    <w:rPr>
      <w:rFonts w:ascii="Arial" w:hAnsi="Arial"/>
      <w:bCs/>
      <w:iCs/>
    </w:rPr>
  </w:style>
  <w:style w:type="paragraph" w:styleId="20">
    <w:name w:val="toc 2"/>
    <w:basedOn w:val="a"/>
    <w:next w:val="a"/>
    <w:autoRedefine/>
    <w:semiHidden/>
    <w:rsid w:val="007E0C0E"/>
    <w:pPr>
      <w:spacing w:before="120"/>
      <w:ind w:left="240"/>
    </w:pPr>
    <w:rPr>
      <w:rFonts w:ascii="Arial" w:hAnsi="Arial"/>
      <w:bCs/>
      <w:sz w:val="22"/>
      <w:szCs w:val="22"/>
    </w:rPr>
  </w:style>
  <w:style w:type="paragraph" w:styleId="30">
    <w:name w:val="toc 3"/>
    <w:basedOn w:val="a"/>
    <w:next w:val="a"/>
    <w:autoRedefine/>
    <w:semiHidden/>
    <w:rsid w:val="007E0C0E"/>
    <w:pPr>
      <w:ind w:left="480"/>
    </w:pPr>
    <w:rPr>
      <w:rFonts w:ascii="Arial" w:hAnsi="Arial"/>
      <w:sz w:val="20"/>
      <w:szCs w:val="20"/>
    </w:rPr>
  </w:style>
  <w:style w:type="paragraph" w:styleId="40">
    <w:name w:val="toc 4"/>
    <w:basedOn w:val="a"/>
    <w:next w:val="a"/>
    <w:autoRedefine/>
    <w:semiHidden/>
    <w:rsid w:val="007E0C0E"/>
    <w:pPr>
      <w:ind w:left="720"/>
    </w:pPr>
    <w:rPr>
      <w:rFonts w:ascii="Arial" w:hAnsi="Arial"/>
      <w:sz w:val="20"/>
      <w:szCs w:val="20"/>
    </w:rPr>
  </w:style>
  <w:style w:type="paragraph" w:styleId="5">
    <w:name w:val="toc 5"/>
    <w:basedOn w:val="a"/>
    <w:next w:val="a"/>
    <w:autoRedefine/>
    <w:semiHidden/>
    <w:rsid w:val="008A2C9A"/>
    <w:pPr>
      <w:ind w:left="960"/>
    </w:pPr>
    <w:rPr>
      <w:sz w:val="20"/>
      <w:szCs w:val="20"/>
    </w:rPr>
  </w:style>
  <w:style w:type="paragraph" w:styleId="60">
    <w:name w:val="toc 6"/>
    <w:basedOn w:val="a"/>
    <w:next w:val="a"/>
    <w:autoRedefine/>
    <w:semiHidden/>
    <w:rsid w:val="008A2C9A"/>
    <w:pPr>
      <w:ind w:left="1200"/>
    </w:pPr>
    <w:rPr>
      <w:sz w:val="20"/>
      <w:szCs w:val="20"/>
    </w:rPr>
  </w:style>
  <w:style w:type="paragraph" w:styleId="70">
    <w:name w:val="toc 7"/>
    <w:basedOn w:val="a"/>
    <w:next w:val="a"/>
    <w:autoRedefine/>
    <w:semiHidden/>
    <w:rsid w:val="008A2C9A"/>
    <w:pPr>
      <w:ind w:left="1440"/>
    </w:pPr>
    <w:rPr>
      <w:sz w:val="20"/>
      <w:szCs w:val="20"/>
    </w:rPr>
  </w:style>
  <w:style w:type="paragraph" w:styleId="80">
    <w:name w:val="toc 8"/>
    <w:basedOn w:val="a"/>
    <w:next w:val="a"/>
    <w:autoRedefine/>
    <w:semiHidden/>
    <w:rsid w:val="008A2C9A"/>
    <w:pPr>
      <w:ind w:left="1680"/>
    </w:pPr>
    <w:rPr>
      <w:sz w:val="20"/>
      <w:szCs w:val="20"/>
    </w:rPr>
  </w:style>
  <w:style w:type="paragraph" w:styleId="90">
    <w:name w:val="toc 9"/>
    <w:basedOn w:val="a"/>
    <w:next w:val="a"/>
    <w:autoRedefine/>
    <w:semiHidden/>
    <w:rsid w:val="008A2C9A"/>
    <w:pPr>
      <w:ind w:left="1920"/>
    </w:pPr>
    <w:rPr>
      <w:sz w:val="20"/>
      <w:szCs w:val="20"/>
    </w:rPr>
  </w:style>
  <w:style w:type="paragraph" w:styleId="a8">
    <w:name w:val="Body Text Indent"/>
    <w:basedOn w:val="a"/>
    <w:rsid w:val="00E53E96"/>
    <w:pPr>
      <w:spacing w:after="120"/>
      <w:ind w:left="283"/>
    </w:pPr>
  </w:style>
  <w:style w:type="paragraph" w:styleId="31">
    <w:name w:val="Body Text 3"/>
    <w:basedOn w:val="a"/>
    <w:rsid w:val="00E53E96"/>
    <w:pPr>
      <w:spacing w:after="120"/>
    </w:pPr>
    <w:rPr>
      <w:sz w:val="16"/>
      <w:szCs w:val="16"/>
    </w:rPr>
  </w:style>
  <w:style w:type="paragraph" w:styleId="21">
    <w:name w:val="Body Text Indent 2"/>
    <w:basedOn w:val="a"/>
    <w:rsid w:val="00E53E96"/>
    <w:pPr>
      <w:spacing w:after="120" w:line="480" w:lineRule="auto"/>
      <w:ind w:left="283"/>
    </w:pPr>
  </w:style>
  <w:style w:type="paragraph" w:customStyle="1" w:styleId="NRUS">
    <w:name w:val="N_RUS"/>
    <w:basedOn w:val="a"/>
    <w:rsid w:val="00E53E96"/>
    <w:pPr>
      <w:autoSpaceDE w:val="0"/>
      <w:autoSpaceDN w:val="0"/>
      <w:jc w:val="both"/>
    </w:pPr>
    <w:rPr>
      <w:rFonts w:ascii="Antiqua" w:hAnsi="Antiqua"/>
    </w:rPr>
  </w:style>
  <w:style w:type="paragraph" w:customStyle="1" w:styleId="32">
    <w:name w:val="заголовок 3"/>
    <w:basedOn w:val="a"/>
    <w:next w:val="a"/>
    <w:rsid w:val="00E53E96"/>
    <w:pPr>
      <w:keepNext/>
      <w:autoSpaceDE w:val="0"/>
      <w:autoSpaceDN w:val="0"/>
    </w:pPr>
    <w:rPr>
      <w:rFonts w:ascii="Arial" w:hAnsi="Arial" w:cs="Arial"/>
      <w:b/>
      <w:bCs/>
      <w:sz w:val="18"/>
    </w:rPr>
  </w:style>
  <w:style w:type="paragraph" w:customStyle="1" w:styleId="61">
    <w:name w:val="заголовок 6"/>
    <w:basedOn w:val="a"/>
    <w:next w:val="a"/>
    <w:rsid w:val="00E53E96"/>
    <w:pPr>
      <w:keepNext/>
      <w:autoSpaceDE w:val="0"/>
      <w:autoSpaceDN w:val="0"/>
      <w:jc w:val="center"/>
    </w:pPr>
    <w:rPr>
      <w:i/>
      <w:iCs/>
    </w:rPr>
  </w:style>
  <w:style w:type="character" w:customStyle="1" w:styleId="a9">
    <w:name w:val="номер страницы"/>
    <w:basedOn w:val="a0"/>
    <w:rsid w:val="00E53E96"/>
  </w:style>
  <w:style w:type="character" w:styleId="aa">
    <w:name w:val="page number"/>
    <w:basedOn w:val="a0"/>
    <w:rsid w:val="00E53E96"/>
  </w:style>
  <w:style w:type="paragraph" w:styleId="ab">
    <w:name w:val="header"/>
    <w:basedOn w:val="a"/>
    <w:rsid w:val="00E53E96"/>
    <w:pPr>
      <w:tabs>
        <w:tab w:val="center" w:pos="4677"/>
        <w:tab w:val="right" w:pos="9355"/>
      </w:tabs>
    </w:pPr>
  </w:style>
  <w:style w:type="paragraph" w:styleId="ac">
    <w:name w:val="annotation text"/>
    <w:basedOn w:val="a"/>
    <w:semiHidden/>
    <w:rsid w:val="00E53E96"/>
    <w:rPr>
      <w:sz w:val="20"/>
      <w:szCs w:val="20"/>
    </w:rPr>
  </w:style>
  <w:style w:type="paragraph" w:styleId="ad">
    <w:name w:val="annotation subject"/>
    <w:basedOn w:val="ac"/>
    <w:next w:val="ac"/>
    <w:semiHidden/>
    <w:rsid w:val="00E53E96"/>
    <w:rPr>
      <w:b/>
      <w:bCs/>
    </w:rPr>
  </w:style>
  <w:style w:type="paragraph" w:styleId="ae">
    <w:name w:val="footer"/>
    <w:basedOn w:val="a"/>
    <w:link w:val="af"/>
    <w:uiPriority w:val="99"/>
    <w:rsid w:val="00E53E96"/>
    <w:pPr>
      <w:tabs>
        <w:tab w:val="center" w:pos="4677"/>
        <w:tab w:val="right" w:pos="9355"/>
      </w:tabs>
    </w:pPr>
  </w:style>
  <w:style w:type="paragraph" w:styleId="af0">
    <w:name w:val="footnote text"/>
    <w:basedOn w:val="a"/>
    <w:semiHidden/>
    <w:rsid w:val="000D1B6E"/>
    <w:rPr>
      <w:sz w:val="20"/>
      <w:szCs w:val="20"/>
    </w:rPr>
  </w:style>
  <w:style w:type="character" w:styleId="af1">
    <w:name w:val="footnote reference"/>
    <w:semiHidden/>
    <w:rsid w:val="000D1B6E"/>
    <w:rPr>
      <w:vertAlign w:val="superscript"/>
    </w:rPr>
  </w:style>
  <w:style w:type="character" w:styleId="af2">
    <w:name w:val="annotation reference"/>
    <w:semiHidden/>
    <w:rsid w:val="005F2643"/>
    <w:rPr>
      <w:sz w:val="16"/>
      <w:szCs w:val="16"/>
    </w:rPr>
  </w:style>
  <w:style w:type="paragraph" w:styleId="af3">
    <w:name w:val="Document Map"/>
    <w:basedOn w:val="a"/>
    <w:semiHidden/>
    <w:rsid w:val="00A43690"/>
    <w:pPr>
      <w:shd w:val="clear" w:color="auto" w:fill="000080"/>
    </w:pPr>
    <w:rPr>
      <w:rFonts w:ascii="Tahoma" w:hAnsi="Tahoma" w:cs="Tahoma"/>
      <w:sz w:val="20"/>
      <w:szCs w:val="20"/>
    </w:rPr>
  </w:style>
  <w:style w:type="paragraph" w:customStyle="1" w:styleId="116">
    <w:name w:val="Стиль Заголовок 1 + кернинг от 16 пт"/>
    <w:basedOn w:val="a"/>
    <w:rsid w:val="00AA0B88"/>
    <w:pPr>
      <w:numPr>
        <w:numId w:val="1"/>
      </w:numPr>
    </w:pPr>
    <w:rPr>
      <w:rFonts w:ascii="Arial" w:hAnsi="Arial"/>
    </w:rPr>
  </w:style>
  <w:style w:type="paragraph" w:customStyle="1" w:styleId="1-">
    <w:name w:val="Ст1-осн.текст"/>
    <w:basedOn w:val="a8"/>
    <w:rsid w:val="00C23A35"/>
    <w:pPr>
      <w:spacing w:after="240"/>
      <w:ind w:left="0"/>
      <w:jc w:val="both"/>
    </w:pPr>
    <w:rPr>
      <w:rFonts w:ascii="Arial" w:hAnsi="Arial"/>
      <w:szCs w:val="20"/>
      <w:lang w:eastAsia="en-US"/>
    </w:rPr>
  </w:style>
  <w:style w:type="paragraph" w:customStyle="1" w:styleId="Web">
    <w:name w:val="Обычный (Web)"/>
    <w:basedOn w:val="a"/>
    <w:rsid w:val="008D7F10"/>
    <w:pPr>
      <w:spacing w:before="100" w:after="100"/>
    </w:pPr>
    <w:rPr>
      <w:rFonts w:ascii="Arial Unicode MS" w:eastAsia="Arial Unicode MS" w:hAnsi="Arial Unicode MS"/>
      <w:szCs w:val="20"/>
    </w:rPr>
  </w:style>
  <w:style w:type="paragraph" w:styleId="HTML">
    <w:name w:val="HTML Preformatted"/>
    <w:basedOn w:val="a"/>
    <w:rsid w:val="00582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10">
    <w:name w:val="Заголовок 1 Знак"/>
    <w:link w:val="1"/>
    <w:rsid w:val="00877C6E"/>
    <w:rPr>
      <w:rFonts w:ascii="Arial" w:hAnsi="Arial" w:cs="Arial"/>
      <w:b/>
      <w:bCs/>
      <w:kern w:val="32"/>
      <w:sz w:val="32"/>
      <w:szCs w:val="32"/>
      <w:lang w:val="ru-RU" w:eastAsia="ru-RU" w:bidi="ar-SA"/>
    </w:rPr>
  </w:style>
  <w:style w:type="paragraph" w:styleId="af4">
    <w:name w:val="List Paragraph"/>
    <w:basedOn w:val="a"/>
    <w:uiPriority w:val="34"/>
    <w:qFormat/>
    <w:rsid w:val="004801B5"/>
    <w:pPr>
      <w:ind w:left="708"/>
    </w:pPr>
  </w:style>
  <w:style w:type="character" w:styleId="af5">
    <w:name w:val="Emphasis"/>
    <w:qFormat/>
    <w:rsid w:val="000653D9"/>
    <w:rPr>
      <w:i/>
      <w:iCs/>
    </w:rPr>
  </w:style>
  <w:style w:type="character" w:customStyle="1" w:styleId="af">
    <w:name w:val="Нижний колонтитул Знак"/>
    <w:link w:val="ae"/>
    <w:uiPriority w:val="99"/>
    <w:rsid w:val="00C52D0D"/>
    <w:rPr>
      <w:sz w:val="24"/>
      <w:szCs w:val="24"/>
    </w:rPr>
  </w:style>
  <w:style w:type="paragraph" w:styleId="af6">
    <w:name w:val="Revision"/>
    <w:hidden/>
    <w:uiPriority w:val="99"/>
    <w:semiHidden/>
    <w:rsid w:val="005C42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0699"/>
    <w:rPr>
      <w:sz w:val="24"/>
      <w:szCs w:val="24"/>
    </w:rPr>
  </w:style>
  <w:style w:type="paragraph" w:styleId="1">
    <w:name w:val="heading 1"/>
    <w:basedOn w:val="a"/>
    <w:next w:val="a"/>
    <w:link w:val="10"/>
    <w:qFormat/>
    <w:rsid w:val="00B84438"/>
    <w:pPr>
      <w:keepNext/>
      <w:spacing w:before="240" w:after="60"/>
      <w:outlineLvl w:val="0"/>
    </w:pPr>
    <w:rPr>
      <w:rFonts w:ascii="Arial" w:hAnsi="Arial" w:cs="Arial"/>
      <w:b/>
      <w:bCs/>
      <w:kern w:val="32"/>
      <w:sz w:val="32"/>
      <w:szCs w:val="32"/>
    </w:rPr>
  </w:style>
  <w:style w:type="paragraph" w:styleId="2">
    <w:name w:val="heading 2"/>
    <w:basedOn w:val="a"/>
    <w:next w:val="a"/>
    <w:qFormat/>
    <w:rsid w:val="00EF3B17"/>
    <w:pPr>
      <w:keepNext/>
      <w:spacing w:before="240" w:after="60"/>
      <w:outlineLvl w:val="1"/>
    </w:pPr>
    <w:rPr>
      <w:rFonts w:ascii="Arial" w:hAnsi="Arial" w:cs="Arial"/>
      <w:b/>
      <w:bCs/>
      <w:i/>
      <w:iCs/>
      <w:sz w:val="28"/>
      <w:szCs w:val="28"/>
    </w:rPr>
  </w:style>
  <w:style w:type="paragraph" w:styleId="3">
    <w:name w:val="heading 3"/>
    <w:basedOn w:val="a"/>
    <w:next w:val="a"/>
    <w:qFormat/>
    <w:rsid w:val="002B6097"/>
    <w:pPr>
      <w:keepNext/>
      <w:spacing w:before="240" w:after="60"/>
      <w:outlineLvl w:val="2"/>
    </w:pPr>
    <w:rPr>
      <w:rFonts w:ascii="Arial" w:hAnsi="Arial" w:cs="Arial"/>
      <w:b/>
      <w:bCs/>
      <w:sz w:val="26"/>
      <w:szCs w:val="26"/>
    </w:rPr>
  </w:style>
  <w:style w:type="paragraph" w:styleId="4">
    <w:name w:val="heading 4"/>
    <w:basedOn w:val="a"/>
    <w:next w:val="a"/>
    <w:qFormat/>
    <w:rsid w:val="00E53E96"/>
    <w:pPr>
      <w:keepNext/>
      <w:spacing w:before="240" w:after="60"/>
      <w:outlineLvl w:val="3"/>
    </w:pPr>
    <w:rPr>
      <w:b/>
      <w:bCs/>
      <w:sz w:val="28"/>
      <w:szCs w:val="28"/>
    </w:rPr>
  </w:style>
  <w:style w:type="paragraph" w:styleId="6">
    <w:name w:val="heading 6"/>
    <w:basedOn w:val="a"/>
    <w:next w:val="a"/>
    <w:qFormat/>
    <w:rsid w:val="00E53E96"/>
    <w:pPr>
      <w:spacing w:before="240" w:after="60"/>
      <w:outlineLvl w:val="5"/>
    </w:pPr>
    <w:rPr>
      <w:b/>
      <w:bCs/>
      <w:sz w:val="22"/>
      <w:szCs w:val="22"/>
    </w:rPr>
  </w:style>
  <w:style w:type="paragraph" w:styleId="7">
    <w:name w:val="heading 7"/>
    <w:basedOn w:val="a"/>
    <w:next w:val="a"/>
    <w:qFormat/>
    <w:rsid w:val="00A12B6B"/>
    <w:pPr>
      <w:keepNext/>
      <w:ind w:left="2127" w:firstLine="709"/>
      <w:jc w:val="center"/>
      <w:outlineLvl w:val="6"/>
    </w:pPr>
    <w:rPr>
      <w:rFonts w:ascii="FreeSetCTT" w:hAnsi="FreeSetCTT"/>
      <w:b/>
      <w:bCs/>
    </w:rPr>
  </w:style>
  <w:style w:type="paragraph" w:styleId="8">
    <w:name w:val="heading 8"/>
    <w:basedOn w:val="a"/>
    <w:next w:val="a"/>
    <w:qFormat/>
    <w:rsid w:val="00E53E96"/>
    <w:pPr>
      <w:spacing w:before="240" w:after="60"/>
      <w:outlineLvl w:val="7"/>
    </w:pPr>
    <w:rPr>
      <w:i/>
      <w:iCs/>
    </w:rPr>
  </w:style>
  <w:style w:type="paragraph" w:styleId="9">
    <w:name w:val="heading 9"/>
    <w:basedOn w:val="a"/>
    <w:next w:val="a"/>
    <w:qFormat/>
    <w:rsid w:val="00E53E96"/>
    <w:pPr>
      <w:spacing w:before="240" w:after="60"/>
      <w:outlineLvl w:val="8"/>
    </w:pPr>
    <w:rPr>
      <w:rFonts w:ascii="Arial" w:hAnsi="Arial"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12">
    <w:name w:val="Стиль Заголовок 1 + 12 пт"/>
    <w:basedOn w:val="1"/>
    <w:rsid w:val="00B84438"/>
    <w:pPr>
      <w:jc w:val="center"/>
    </w:pPr>
    <w:rPr>
      <w:sz w:val="24"/>
    </w:rPr>
  </w:style>
  <w:style w:type="paragraph" w:customStyle="1" w:styleId="Arial">
    <w:name w:val="Стиль Рег_текст + Arial"/>
    <w:basedOn w:val="a"/>
    <w:rsid w:val="00B84438"/>
    <w:pPr>
      <w:spacing w:before="120"/>
      <w:jc w:val="both"/>
    </w:pPr>
    <w:rPr>
      <w:rFonts w:ascii="Arial" w:hAnsi="Arial"/>
    </w:rPr>
  </w:style>
  <w:style w:type="table" w:styleId="a3">
    <w:name w:val="Table Grid"/>
    <w:basedOn w:val="a1"/>
    <w:rsid w:val="00A75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qFormat/>
    <w:rsid w:val="00A12B6B"/>
    <w:pPr>
      <w:jc w:val="center"/>
    </w:pPr>
    <w:rPr>
      <w:b/>
      <w:bCs/>
      <w:sz w:val="28"/>
    </w:rPr>
  </w:style>
  <w:style w:type="paragraph" w:styleId="a5">
    <w:name w:val="Body Text"/>
    <w:basedOn w:val="a"/>
    <w:rsid w:val="00A12B6B"/>
    <w:pPr>
      <w:jc w:val="center"/>
    </w:pPr>
    <w:rPr>
      <w:rFonts w:ascii="FreeSetCTT" w:hAnsi="FreeSetCTT"/>
      <w:b/>
      <w:bCs/>
      <w:sz w:val="36"/>
    </w:rPr>
  </w:style>
  <w:style w:type="paragraph" w:styleId="a6">
    <w:name w:val="Balloon Text"/>
    <w:basedOn w:val="a"/>
    <w:semiHidden/>
    <w:rsid w:val="00A12B6B"/>
    <w:rPr>
      <w:rFonts w:ascii="Tahoma" w:hAnsi="Tahoma" w:cs="Tahoma"/>
      <w:sz w:val="16"/>
      <w:szCs w:val="16"/>
    </w:rPr>
  </w:style>
  <w:style w:type="character" w:styleId="a7">
    <w:name w:val="Hyperlink"/>
    <w:uiPriority w:val="99"/>
    <w:rsid w:val="00A12B6B"/>
    <w:rPr>
      <w:color w:val="0000FF"/>
      <w:u w:val="single"/>
    </w:rPr>
  </w:style>
  <w:style w:type="paragraph" w:styleId="11">
    <w:name w:val="toc 1"/>
    <w:basedOn w:val="a"/>
    <w:next w:val="a"/>
    <w:autoRedefine/>
    <w:uiPriority w:val="39"/>
    <w:rsid w:val="007E0C0E"/>
    <w:pPr>
      <w:spacing w:before="120"/>
    </w:pPr>
    <w:rPr>
      <w:rFonts w:ascii="Arial" w:hAnsi="Arial"/>
      <w:bCs/>
      <w:iCs/>
    </w:rPr>
  </w:style>
  <w:style w:type="paragraph" w:styleId="20">
    <w:name w:val="toc 2"/>
    <w:basedOn w:val="a"/>
    <w:next w:val="a"/>
    <w:autoRedefine/>
    <w:semiHidden/>
    <w:rsid w:val="007E0C0E"/>
    <w:pPr>
      <w:spacing w:before="120"/>
      <w:ind w:left="240"/>
    </w:pPr>
    <w:rPr>
      <w:rFonts w:ascii="Arial" w:hAnsi="Arial"/>
      <w:bCs/>
      <w:sz w:val="22"/>
      <w:szCs w:val="22"/>
    </w:rPr>
  </w:style>
  <w:style w:type="paragraph" w:styleId="30">
    <w:name w:val="toc 3"/>
    <w:basedOn w:val="a"/>
    <w:next w:val="a"/>
    <w:autoRedefine/>
    <w:semiHidden/>
    <w:rsid w:val="007E0C0E"/>
    <w:pPr>
      <w:ind w:left="480"/>
    </w:pPr>
    <w:rPr>
      <w:rFonts w:ascii="Arial" w:hAnsi="Arial"/>
      <w:sz w:val="20"/>
      <w:szCs w:val="20"/>
    </w:rPr>
  </w:style>
  <w:style w:type="paragraph" w:styleId="40">
    <w:name w:val="toc 4"/>
    <w:basedOn w:val="a"/>
    <w:next w:val="a"/>
    <w:autoRedefine/>
    <w:semiHidden/>
    <w:rsid w:val="007E0C0E"/>
    <w:pPr>
      <w:ind w:left="720"/>
    </w:pPr>
    <w:rPr>
      <w:rFonts w:ascii="Arial" w:hAnsi="Arial"/>
      <w:sz w:val="20"/>
      <w:szCs w:val="20"/>
    </w:rPr>
  </w:style>
  <w:style w:type="paragraph" w:styleId="5">
    <w:name w:val="toc 5"/>
    <w:basedOn w:val="a"/>
    <w:next w:val="a"/>
    <w:autoRedefine/>
    <w:semiHidden/>
    <w:rsid w:val="008A2C9A"/>
    <w:pPr>
      <w:ind w:left="960"/>
    </w:pPr>
    <w:rPr>
      <w:sz w:val="20"/>
      <w:szCs w:val="20"/>
    </w:rPr>
  </w:style>
  <w:style w:type="paragraph" w:styleId="60">
    <w:name w:val="toc 6"/>
    <w:basedOn w:val="a"/>
    <w:next w:val="a"/>
    <w:autoRedefine/>
    <w:semiHidden/>
    <w:rsid w:val="008A2C9A"/>
    <w:pPr>
      <w:ind w:left="1200"/>
    </w:pPr>
    <w:rPr>
      <w:sz w:val="20"/>
      <w:szCs w:val="20"/>
    </w:rPr>
  </w:style>
  <w:style w:type="paragraph" w:styleId="70">
    <w:name w:val="toc 7"/>
    <w:basedOn w:val="a"/>
    <w:next w:val="a"/>
    <w:autoRedefine/>
    <w:semiHidden/>
    <w:rsid w:val="008A2C9A"/>
    <w:pPr>
      <w:ind w:left="1440"/>
    </w:pPr>
    <w:rPr>
      <w:sz w:val="20"/>
      <w:szCs w:val="20"/>
    </w:rPr>
  </w:style>
  <w:style w:type="paragraph" w:styleId="80">
    <w:name w:val="toc 8"/>
    <w:basedOn w:val="a"/>
    <w:next w:val="a"/>
    <w:autoRedefine/>
    <w:semiHidden/>
    <w:rsid w:val="008A2C9A"/>
    <w:pPr>
      <w:ind w:left="1680"/>
    </w:pPr>
    <w:rPr>
      <w:sz w:val="20"/>
      <w:szCs w:val="20"/>
    </w:rPr>
  </w:style>
  <w:style w:type="paragraph" w:styleId="90">
    <w:name w:val="toc 9"/>
    <w:basedOn w:val="a"/>
    <w:next w:val="a"/>
    <w:autoRedefine/>
    <w:semiHidden/>
    <w:rsid w:val="008A2C9A"/>
    <w:pPr>
      <w:ind w:left="1920"/>
    </w:pPr>
    <w:rPr>
      <w:sz w:val="20"/>
      <w:szCs w:val="20"/>
    </w:rPr>
  </w:style>
  <w:style w:type="paragraph" w:styleId="a8">
    <w:name w:val="Body Text Indent"/>
    <w:basedOn w:val="a"/>
    <w:rsid w:val="00E53E96"/>
    <w:pPr>
      <w:spacing w:after="120"/>
      <w:ind w:left="283"/>
    </w:pPr>
  </w:style>
  <w:style w:type="paragraph" w:styleId="31">
    <w:name w:val="Body Text 3"/>
    <w:basedOn w:val="a"/>
    <w:rsid w:val="00E53E96"/>
    <w:pPr>
      <w:spacing w:after="120"/>
    </w:pPr>
    <w:rPr>
      <w:sz w:val="16"/>
      <w:szCs w:val="16"/>
    </w:rPr>
  </w:style>
  <w:style w:type="paragraph" w:styleId="21">
    <w:name w:val="Body Text Indent 2"/>
    <w:basedOn w:val="a"/>
    <w:rsid w:val="00E53E96"/>
    <w:pPr>
      <w:spacing w:after="120" w:line="480" w:lineRule="auto"/>
      <w:ind w:left="283"/>
    </w:pPr>
  </w:style>
  <w:style w:type="paragraph" w:customStyle="1" w:styleId="NRUS">
    <w:name w:val="N_RUS"/>
    <w:basedOn w:val="a"/>
    <w:rsid w:val="00E53E96"/>
    <w:pPr>
      <w:autoSpaceDE w:val="0"/>
      <w:autoSpaceDN w:val="0"/>
      <w:jc w:val="both"/>
    </w:pPr>
    <w:rPr>
      <w:rFonts w:ascii="Antiqua" w:hAnsi="Antiqua"/>
    </w:rPr>
  </w:style>
  <w:style w:type="paragraph" w:customStyle="1" w:styleId="32">
    <w:name w:val="заголовок 3"/>
    <w:basedOn w:val="a"/>
    <w:next w:val="a"/>
    <w:rsid w:val="00E53E96"/>
    <w:pPr>
      <w:keepNext/>
      <w:autoSpaceDE w:val="0"/>
      <w:autoSpaceDN w:val="0"/>
    </w:pPr>
    <w:rPr>
      <w:rFonts w:ascii="Arial" w:hAnsi="Arial" w:cs="Arial"/>
      <w:b/>
      <w:bCs/>
      <w:sz w:val="18"/>
    </w:rPr>
  </w:style>
  <w:style w:type="paragraph" w:customStyle="1" w:styleId="61">
    <w:name w:val="заголовок 6"/>
    <w:basedOn w:val="a"/>
    <w:next w:val="a"/>
    <w:rsid w:val="00E53E96"/>
    <w:pPr>
      <w:keepNext/>
      <w:autoSpaceDE w:val="0"/>
      <w:autoSpaceDN w:val="0"/>
      <w:jc w:val="center"/>
    </w:pPr>
    <w:rPr>
      <w:i/>
      <w:iCs/>
    </w:rPr>
  </w:style>
  <w:style w:type="character" w:customStyle="1" w:styleId="a9">
    <w:name w:val="номер страницы"/>
    <w:basedOn w:val="a0"/>
    <w:rsid w:val="00E53E96"/>
  </w:style>
  <w:style w:type="character" w:styleId="aa">
    <w:name w:val="page number"/>
    <w:basedOn w:val="a0"/>
    <w:rsid w:val="00E53E96"/>
  </w:style>
  <w:style w:type="paragraph" w:styleId="ab">
    <w:name w:val="header"/>
    <w:basedOn w:val="a"/>
    <w:rsid w:val="00E53E96"/>
    <w:pPr>
      <w:tabs>
        <w:tab w:val="center" w:pos="4677"/>
        <w:tab w:val="right" w:pos="9355"/>
      </w:tabs>
    </w:pPr>
  </w:style>
  <w:style w:type="paragraph" w:styleId="ac">
    <w:name w:val="annotation text"/>
    <w:basedOn w:val="a"/>
    <w:semiHidden/>
    <w:rsid w:val="00E53E96"/>
    <w:rPr>
      <w:sz w:val="20"/>
      <w:szCs w:val="20"/>
    </w:rPr>
  </w:style>
  <w:style w:type="paragraph" w:styleId="ad">
    <w:name w:val="annotation subject"/>
    <w:basedOn w:val="ac"/>
    <w:next w:val="ac"/>
    <w:semiHidden/>
    <w:rsid w:val="00E53E96"/>
    <w:rPr>
      <w:b/>
      <w:bCs/>
    </w:rPr>
  </w:style>
  <w:style w:type="paragraph" w:styleId="ae">
    <w:name w:val="footer"/>
    <w:basedOn w:val="a"/>
    <w:link w:val="af"/>
    <w:uiPriority w:val="99"/>
    <w:rsid w:val="00E53E96"/>
    <w:pPr>
      <w:tabs>
        <w:tab w:val="center" w:pos="4677"/>
        <w:tab w:val="right" w:pos="9355"/>
      </w:tabs>
    </w:pPr>
  </w:style>
  <w:style w:type="paragraph" w:styleId="af0">
    <w:name w:val="footnote text"/>
    <w:basedOn w:val="a"/>
    <w:semiHidden/>
    <w:rsid w:val="000D1B6E"/>
    <w:rPr>
      <w:sz w:val="20"/>
      <w:szCs w:val="20"/>
    </w:rPr>
  </w:style>
  <w:style w:type="character" w:styleId="af1">
    <w:name w:val="footnote reference"/>
    <w:semiHidden/>
    <w:rsid w:val="000D1B6E"/>
    <w:rPr>
      <w:vertAlign w:val="superscript"/>
    </w:rPr>
  </w:style>
  <w:style w:type="character" w:styleId="af2">
    <w:name w:val="annotation reference"/>
    <w:semiHidden/>
    <w:rsid w:val="005F2643"/>
    <w:rPr>
      <w:sz w:val="16"/>
      <w:szCs w:val="16"/>
    </w:rPr>
  </w:style>
  <w:style w:type="paragraph" w:styleId="af3">
    <w:name w:val="Document Map"/>
    <w:basedOn w:val="a"/>
    <w:semiHidden/>
    <w:rsid w:val="00A43690"/>
    <w:pPr>
      <w:shd w:val="clear" w:color="auto" w:fill="000080"/>
    </w:pPr>
    <w:rPr>
      <w:rFonts w:ascii="Tahoma" w:hAnsi="Tahoma" w:cs="Tahoma"/>
      <w:sz w:val="20"/>
      <w:szCs w:val="20"/>
    </w:rPr>
  </w:style>
  <w:style w:type="paragraph" w:customStyle="1" w:styleId="116">
    <w:name w:val="Стиль Заголовок 1 + кернинг от 16 пт"/>
    <w:basedOn w:val="a"/>
    <w:rsid w:val="00AA0B88"/>
    <w:pPr>
      <w:numPr>
        <w:numId w:val="1"/>
      </w:numPr>
    </w:pPr>
    <w:rPr>
      <w:rFonts w:ascii="Arial" w:hAnsi="Arial"/>
    </w:rPr>
  </w:style>
  <w:style w:type="paragraph" w:customStyle="1" w:styleId="1-">
    <w:name w:val="Ст1-осн.текст"/>
    <w:basedOn w:val="a8"/>
    <w:rsid w:val="00C23A35"/>
    <w:pPr>
      <w:spacing w:after="240"/>
      <w:ind w:left="0"/>
      <w:jc w:val="both"/>
    </w:pPr>
    <w:rPr>
      <w:rFonts w:ascii="Arial" w:hAnsi="Arial"/>
      <w:szCs w:val="20"/>
      <w:lang w:eastAsia="en-US"/>
    </w:rPr>
  </w:style>
  <w:style w:type="paragraph" w:customStyle="1" w:styleId="Web">
    <w:name w:val="Обычный (Web)"/>
    <w:basedOn w:val="a"/>
    <w:rsid w:val="008D7F10"/>
    <w:pPr>
      <w:spacing w:before="100" w:after="100"/>
    </w:pPr>
    <w:rPr>
      <w:rFonts w:ascii="Arial Unicode MS" w:eastAsia="Arial Unicode MS" w:hAnsi="Arial Unicode MS"/>
      <w:szCs w:val="20"/>
    </w:rPr>
  </w:style>
  <w:style w:type="paragraph" w:styleId="HTML">
    <w:name w:val="HTML Preformatted"/>
    <w:basedOn w:val="a"/>
    <w:rsid w:val="00582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10">
    <w:name w:val="Заголовок 1 Знак"/>
    <w:link w:val="1"/>
    <w:rsid w:val="00877C6E"/>
    <w:rPr>
      <w:rFonts w:ascii="Arial" w:hAnsi="Arial" w:cs="Arial"/>
      <w:b/>
      <w:bCs/>
      <w:kern w:val="32"/>
      <w:sz w:val="32"/>
      <w:szCs w:val="32"/>
      <w:lang w:val="ru-RU" w:eastAsia="ru-RU" w:bidi="ar-SA"/>
    </w:rPr>
  </w:style>
  <w:style w:type="paragraph" w:styleId="af4">
    <w:name w:val="List Paragraph"/>
    <w:basedOn w:val="a"/>
    <w:uiPriority w:val="34"/>
    <w:qFormat/>
    <w:rsid w:val="004801B5"/>
    <w:pPr>
      <w:ind w:left="708"/>
    </w:pPr>
  </w:style>
  <w:style w:type="character" w:styleId="af5">
    <w:name w:val="Emphasis"/>
    <w:qFormat/>
    <w:rsid w:val="000653D9"/>
    <w:rPr>
      <w:i/>
      <w:iCs/>
    </w:rPr>
  </w:style>
  <w:style w:type="character" w:customStyle="1" w:styleId="af">
    <w:name w:val="Нижний колонтитул Знак"/>
    <w:link w:val="ae"/>
    <w:uiPriority w:val="99"/>
    <w:rsid w:val="00C52D0D"/>
    <w:rPr>
      <w:sz w:val="24"/>
      <w:szCs w:val="24"/>
    </w:rPr>
  </w:style>
  <w:style w:type="paragraph" w:styleId="af6">
    <w:name w:val="Revision"/>
    <w:hidden/>
    <w:uiPriority w:val="99"/>
    <w:semiHidden/>
    <w:rsid w:val="005C42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462203">
      <w:bodyDiv w:val="1"/>
      <w:marLeft w:val="0"/>
      <w:marRight w:val="0"/>
      <w:marTop w:val="0"/>
      <w:marBottom w:val="0"/>
      <w:divBdr>
        <w:top w:val="none" w:sz="0" w:space="0" w:color="auto"/>
        <w:left w:val="none" w:sz="0" w:space="0" w:color="auto"/>
        <w:bottom w:val="none" w:sz="0" w:space="0" w:color="auto"/>
        <w:right w:val="none" w:sz="0" w:space="0" w:color="auto"/>
      </w:divBdr>
    </w:div>
    <w:div w:id="322322997">
      <w:bodyDiv w:val="1"/>
      <w:marLeft w:val="0"/>
      <w:marRight w:val="0"/>
      <w:marTop w:val="0"/>
      <w:marBottom w:val="0"/>
      <w:divBdr>
        <w:top w:val="none" w:sz="0" w:space="0" w:color="auto"/>
        <w:left w:val="none" w:sz="0" w:space="0" w:color="auto"/>
        <w:bottom w:val="none" w:sz="0" w:space="0" w:color="auto"/>
        <w:right w:val="none" w:sz="0" w:space="0" w:color="auto"/>
      </w:divBdr>
    </w:div>
    <w:div w:id="417824229">
      <w:bodyDiv w:val="1"/>
      <w:marLeft w:val="0"/>
      <w:marRight w:val="0"/>
      <w:marTop w:val="0"/>
      <w:marBottom w:val="0"/>
      <w:divBdr>
        <w:top w:val="none" w:sz="0" w:space="0" w:color="auto"/>
        <w:left w:val="none" w:sz="0" w:space="0" w:color="auto"/>
        <w:bottom w:val="none" w:sz="0" w:space="0" w:color="auto"/>
        <w:right w:val="none" w:sz="0" w:space="0" w:color="auto"/>
      </w:divBdr>
    </w:div>
    <w:div w:id="491062888">
      <w:bodyDiv w:val="1"/>
      <w:marLeft w:val="0"/>
      <w:marRight w:val="0"/>
      <w:marTop w:val="0"/>
      <w:marBottom w:val="0"/>
      <w:divBdr>
        <w:top w:val="none" w:sz="0" w:space="0" w:color="auto"/>
        <w:left w:val="none" w:sz="0" w:space="0" w:color="auto"/>
        <w:bottom w:val="none" w:sz="0" w:space="0" w:color="auto"/>
        <w:right w:val="none" w:sz="0" w:space="0" w:color="auto"/>
      </w:divBdr>
    </w:div>
    <w:div w:id="501896683">
      <w:bodyDiv w:val="1"/>
      <w:marLeft w:val="0"/>
      <w:marRight w:val="0"/>
      <w:marTop w:val="0"/>
      <w:marBottom w:val="0"/>
      <w:divBdr>
        <w:top w:val="none" w:sz="0" w:space="0" w:color="auto"/>
        <w:left w:val="none" w:sz="0" w:space="0" w:color="auto"/>
        <w:bottom w:val="none" w:sz="0" w:space="0" w:color="auto"/>
        <w:right w:val="none" w:sz="0" w:space="0" w:color="auto"/>
      </w:divBdr>
    </w:div>
    <w:div w:id="516237255">
      <w:bodyDiv w:val="1"/>
      <w:marLeft w:val="0"/>
      <w:marRight w:val="0"/>
      <w:marTop w:val="0"/>
      <w:marBottom w:val="0"/>
      <w:divBdr>
        <w:top w:val="none" w:sz="0" w:space="0" w:color="auto"/>
        <w:left w:val="none" w:sz="0" w:space="0" w:color="auto"/>
        <w:bottom w:val="none" w:sz="0" w:space="0" w:color="auto"/>
        <w:right w:val="none" w:sz="0" w:space="0" w:color="auto"/>
      </w:divBdr>
    </w:div>
    <w:div w:id="543715081">
      <w:bodyDiv w:val="1"/>
      <w:marLeft w:val="0"/>
      <w:marRight w:val="0"/>
      <w:marTop w:val="0"/>
      <w:marBottom w:val="0"/>
      <w:divBdr>
        <w:top w:val="none" w:sz="0" w:space="0" w:color="auto"/>
        <w:left w:val="none" w:sz="0" w:space="0" w:color="auto"/>
        <w:bottom w:val="none" w:sz="0" w:space="0" w:color="auto"/>
        <w:right w:val="none" w:sz="0" w:space="0" w:color="auto"/>
      </w:divBdr>
    </w:div>
    <w:div w:id="794716854">
      <w:bodyDiv w:val="1"/>
      <w:marLeft w:val="0"/>
      <w:marRight w:val="0"/>
      <w:marTop w:val="0"/>
      <w:marBottom w:val="0"/>
      <w:divBdr>
        <w:top w:val="none" w:sz="0" w:space="0" w:color="auto"/>
        <w:left w:val="none" w:sz="0" w:space="0" w:color="auto"/>
        <w:bottom w:val="none" w:sz="0" w:space="0" w:color="auto"/>
        <w:right w:val="none" w:sz="0" w:space="0" w:color="auto"/>
      </w:divBdr>
    </w:div>
    <w:div w:id="803697194">
      <w:bodyDiv w:val="1"/>
      <w:marLeft w:val="0"/>
      <w:marRight w:val="0"/>
      <w:marTop w:val="0"/>
      <w:marBottom w:val="0"/>
      <w:divBdr>
        <w:top w:val="none" w:sz="0" w:space="0" w:color="auto"/>
        <w:left w:val="none" w:sz="0" w:space="0" w:color="auto"/>
        <w:bottom w:val="none" w:sz="0" w:space="0" w:color="auto"/>
        <w:right w:val="none" w:sz="0" w:space="0" w:color="auto"/>
      </w:divBdr>
    </w:div>
    <w:div w:id="805127372">
      <w:bodyDiv w:val="1"/>
      <w:marLeft w:val="0"/>
      <w:marRight w:val="0"/>
      <w:marTop w:val="0"/>
      <w:marBottom w:val="0"/>
      <w:divBdr>
        <w:top w:val="none" w:sz="0" w:space="0" w:color="auto"/>
        <w:left w:val="none" w:sz="0" w:space="0" w:color="auto"/>
        <w:bottom w:val="none" w:sz="0" w:space="0" w:color="auto"/>
        <w:right w:val="none" w:sz="0" w:space="0" w:color="auto"/>
      </w:divBdr>
    </w:div>
    <w:div w:id="1023819821">
      <w:bodyDiv w:val="1"/>
      <w:marLeft w:val="0"/>
      <w:marRight w:val="0"/>
      <w:marTop w:val="0"/>
      <w:marBottom w:val="0"/>
      <w:divBdr>
        <w:top w:val="none" w:sz="0" w:space="0" w:color="auto"/>
        <w:left w:val="none" w:sz="0" w:space="0" w:color="auto"/>
        <w:bottom w:val="none" w:sz="0" w:space="0" w:color="auto"/>
        <w:right w:val="none" w:sz="0" w:space="0" w:color="auto"/>
      </w:divBdr>
    </w:div>
    <w:div w:id="1089547794">
      <w:bodyDiv w:val="1"/>
      <w:marLeft w:val="0"/>
      <w:marRight w:val="0"/>
      <w:marTop w:val="0"/>
      <w:marBottom w:val="0"/>
      <w:divBdr>
        <w:top w:val="none" w:sz="0" w:space="0" w:color="auto"/>
        <w:left w:val="none" w:sz="0" w:space="0" w:color="auto"/>
        <w:bottom w:val="none" w:sz="0" w:space="0" w:color="auto"/>
        <w:right w:val="none" w:sz="0" w:space="0" w:color="auto"/>
      </w:divBdr>
    </w:div>
    <w:div w:id="1166287910">
      <w:bodyDiv w:val="1"/>
      <w:marLeft w:val="0"/>
      <w:marRight w:val="0"/>
      <w:marTop w:val="0"/>
      <w:marBottom w:val="0"/>
      <w:divBdr>
        <w:top w:val="none" w:sz="0" w:space="0" w:color="auto"/>
        <w:left w:val="none" w:sz="0" w:space="0" w:color="auto"/>
        <w:bottom w:val="none" w:sz="0" w:space="0" w:color="auto"/>
        <w:right w:val="none" w:sz="0" w:space="0" w:color="auto"/>
      </w:divBdr>
      <w:divsChild>
        <w:div w:id="606080206">
          <w:marLeft w:val="1050"/>
          <w:marRight w:val="0"/>
          <w:marTop w:val="0"/>
          <w:marBottom w:val="0"/>
          <w:divBdr>
            <w:top w:val="none" w:sz="0" w:space="0" w:color="auto"/>
            <w:left w:val="single" w:sz="6" w:space="19" w:color="CCCCCC"/>
            <w:bottom w:val="none" w:sz="0" w:space="0" w:color="auto"/>
            <w:right w:val="single" w:sz="2" w:space="19" w:color="CCCCCC"/>
          </w:divBdr>
        </w:div>
      </w:divsChild>
    </w:div>
    <w:div w:id="1359768917">
      <w:bodyDiv w:val="1"/>
      <w:marLeft w:val="0"/>
      <w:marRight w:val="0"/>
      <w:marTop w:val="0"/>
      <w:marBottom w:val="0"/>
      <w:divBdr>
        <w:top w:val="none" w:sz="0" w:space="0" w:color="auto"/>
        <w:left w:val="none" w:sz="0" w:space="0" w:color="auto"/>
        <w:bottom w:val="none" w:sz="0" w:space="0" w:color="auto"/>
        <w:right w:val="none" w:sz="0" w:space="0" w:color="auto"/>
      </w:divBdr>
    </w:div>
    <w:div w:id="1377239511">
      <w:bodyDiv w:val="1"/>
      <w:marLeft w:val="0"/>
      <w:marRight w:val="0"/>
      <w:marTop w:val="0"/>
      <w:marBottom w:val="0"/>
      <w:divBdr>
        <w:top w:val="none" w:sz="0" w:space="0" w:color="auto"/>
        <w:left w:val="none" w:sz="0" w:space="0" w:color="auto"/>
        <w:bottom w:val="none" w:sz="0" w:space="0" w:color="auto"/>
        <w:right w:val="none" w:sz="0" w:space="0" w:color="auto"/>
      </w:divBdr>
    </w:div>
    <w:div w:id="1620869113">
      <w:bodyDiv w:val="1"/>
      <w:marLeft w:val="0"/>
      <w:marRight w:val="0"/>
      <w:marTop w:val="0"/>
      <w:marBottom w:val="0"/>
      <w:divBdr>
        <w:top w:val="none" w:sz="0" w:space="0" w:color="auto"/>
        <w:left w:val="none" w:sz="0" w:space="0" w:color="auto"/>
        <w:bottom w:val="none" w:sz="0" w:space="0" w:color="auto"/>
        <w:right w:val="none" w:sz="0" w:space="0" w:color="auto"/>
      </w:divBdr>
    </w:div>
    <w:div w:id="1621767293">
      <w:bodyDiv w:val="1"/>
      <w:marLeft w:val="0"/>
      <w:marRight w:val="0"/>
      <w:marTop w:val="0"/>
      <w:marBottom w:val="0"/>
      <w:divBdr>
        <w:top w:val="none" w:sz="0" w:space="0" w:color="auto"/>
        <w:left w:val="none" w:sz="0" w:space="0" w:color="auto"/>
        <w:bottom w:val="none" w:sz="0" w:space="0" w:color="auto"/>
        <w:right w:val="none" w:sz="0" w:space="0" w:color="auto"/>
      </w:divBdr>
    </w:div>
    <w:div w:id="1679843680">
      <w:bodyDiv w:val="1"/>
      <w:marLeft w:val="0"/>
      <w:marRight w:val="0"/>
      <w:marTop w:val="0"/>
      <w:marBottom w:val="0"/>
      <w:divBdr>
        <w:top w:val="none" w:sz="0" w:space="0" w:color="auto"/>
        <w:left w:val="none" w:sz="0" w:space="0" w:color="auto"/>
        <w:bottom w:val="none" w:sz="0" w:space="0" w:color="auto"/>
        <w:right w:val="none" w:sz="0" w:space="0" w:color="auto"/>
      </w:divBdr>
    </w:div>
    <w:div w:id="1748065827">
      <w:bodyDiv w:val="1"/>
      <w:marLeft w:val="0"/>
      <w:marRight w:val="0"/>
      <w:marTop w:val="0"/>
      <w:marBottom w:val="0"/>
      <w:divBdr>
        <w:top w:val="none" w:sz="0" w:space="0" w:color="auto"/>
        <w:left w:val="none" w:sz="0" w:space="0" w:color="auto"/>
        <w:bottom w:val="none" w:sz="0" w:space="0" w:color="auto"/>
        <w:right w:val="none" w:sz="0" w:space="0" w:color="auto"/>
      </w:divBdr>
    </w:div>
    <w:div w:id="212337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image" Target="media/image11.emf"/><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215FE-7D06-4FF4-A3D6-A2AABA8A0BCC}">
  <ds:schemaRefs>
    <ds:schemaRef ds:uri="http://schemas.openxmlformats.org/officeDocument/2006/bibliography"/>
  </ds:schemaRefs>
</ds:datastoreItem>
</file>

<file path=customXml/itemProps2.xml><?xml version="1.0" encoding="utf-8"?>
<ds:datastoreItem xmlns:ds="http://schemas.openxmlformats.org/officeDocument/2006/customXml" ds:itemID="{05986D8D-4A78-4258-A7F9-2046AA6D2706}">
  <ds:schemaRefs>
    <ds:schemaRef ds:uri="http://schemas.openxmlformats.org/officeDocument/2006/bibliography"/>
  </ds:schemaRefs>
</ds:datastoreItem>
</file>

<file path=customXml/itemProps3.xml><?xml version="1.0" encoding="utf-8"?>
<ds:datastoreItem xmlns:ds="http://schemas.openxmlformats.org/officeDocument/2006/customXml" ds:itemID="{6EAD0787-02BF-4D68-B700-12C874D5059D}">
  <ds:schemaRefs>
    <ds:schemaRef ds:uri="http://schemas.openxmlformats.org/officeDocument/2006/bibliography"/>
  </ds:schemaRefs>
</ds:datastoreItem>
</file>

<file path=customXml/itemProps4.xml><?xml version="1.0" encoding="utf-8"?>
<ds:datastoreItem xmlns:ds="http://schemas.openxmlformats.org/officeDocument/2006/customXml" ds:itemID="{325D5332-E421-467D-841F-9F13DB3B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8441</Words>
  <Characters>48114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1</vt:lpstr>
    </vt:vector>
  </TitlesOfParts>
  <Company>RAO EES</Company>
  <LinksUpToDate>false</LinksUpToDate>
  <CharactersWithSpaces>56443</CharactersWithSpaces>
  <SharedDoc>false</SharedDoc>
  <HLinks>
    <vt:vector size="96" baseType="variant">
      <vt:variant>
        <vt:i4>2031679</vt:i4>
      </vt:variant>
      <vt:variant>
        <vt:i4>92</vt:i4>
      </vt:variant>
      <vt:variant>
        <vt:i4>0</vt:i4>
      </vt:variant>
      <vt:variant>
        <vt:i4>5</vt:i4>
      </vt:variant>
      <vt:variant>
        <vt:lpwstr/>
      </vt:variant>
      <vt:variant>
        <vt:lpwstr>_Toc370295584</vt:lpwstr>
      </vt:variant>
      <vt:variant>
        <vt:i4>2031679</vt:i4>
      </vt:variant>
      <vt:variant>
        <vt:i4>86</vt:i4>
      </vt:variant>
      <vt:variant>
        <vt:i4>0</vt:i4>
      </vt:variant>
      <vt:variant>
        <vt:i4>5</vt:i4>
      </vt:variant>
      <vt:variant>
        <vt:lpwstr/>
      </vt:variant>
      <vt:variant>
        <vt:lpwstr>_Toc370295583</vt:lpwstr>
      </vt:variant>
      <vt:variant>
        <vt:i4>2031679</vt:i4>
      </vt:variant>
      <vt:variant>
        <vt:i4>80</vt:i4>
      </vt:variant>
      <vt:variant>
        <vt:i4>0</vt:i4>
      </vt:variant>
      <vt:variant>
        <vt:i4>5</vt:i4>
      </vt:variant>
      <vt:variant>
        <vt:lpwstr/>
      </vt:variant>
      <vt:variant>
        <vt:lpwstr>_Toc370295582</vt:lpwstr>
      </vt:variant>
      <vt:variant>
        <vt:i4>2031679</vt:i4>
      </vt:variant>
      <vt:variant>
        <vt:i4>74</vt:i4>
      </vt:variant>
      <vt:variant>
        <vt:i4>0</vt:i4>
      </vt:variant>
      <vt:variant>
        <vt:i4>5</vt:i4>
      </vt:variant>
      <vt:variant>
        <vt:lpwstr/>
      </vt:variant>
      <vt:variant>
        <vt:lpwstr>_Toc370295581</vt:lpwstr>
      </vt:variant>
      <vt:variant>
        <vt:i4>2031679</vt:i4>
      </vt:variant>
      <vt:variant>
        <vt:i4>68</vt:i4>
      </vt:variant>
      <vt:variant>
        <vt:i4>0</vt:i4>
      </vt:variant>
      <vt:variant>
        <vt:i4>5</vt:i4>
      </vt:variant>
      <vt:variant>
        <vt:lpwstr/>
      </vt:variant>
      <vt:variant>
        <vt:lpwstr>_Toc370295580</vt:lpwstr>
      </vt:variant>
      <vt:variant>
        <vt:i4>1048639</vt:i4>
      </vt:variant>
      <vt:variant>
        <vt:i4>62</vt:i4>
      </vt:variant>
      <vt:variant>
        <vt:i4>0</vt:i4>
      </vt:variant>
      <vt:variant>
        <vt:i4>5</vt:i4>
      </vt:variant>
      <vt:variant>
        <vt:lpwstr/>
      </vt:variant>
      <vt:variant>
        <vt:lpwstr>_Toc370295579</vt:lpwstr>
      </vt:variant>
      <vt:variant>
        <vt:i4>1048639</vt:i4>
      </vt:variant>
      <vt:variant>
        <vt:i4>56</vt:i4>
      </vt:variant>
      <vt:variant>
        <vt:i4>0</vt:i4>
      </vt:variant>
      <vt:variant>
        <vt:i4>5</vt:i4>
      </vt:variant>
      <vt:variant>
        <vt:lpwstr/>
      </vt:variant>
      <vt:variant>
        <vt:lpwstr>_Toc370295578</vt:lpwstr>
      </vt:variant>
      <vt:variant>
        <vt:i4>1048639</vt:i4>
      </vt:variant>
      <vt:variant>
        <vt:i4>50</vt:i4>
      </vt:variant>
      <vt:variant>
        <vt:i4>0</vt:i4>
      </vt:variant>
      <vt:variant>
        <vt:i4>5</vt:i4>
      </vt:variant>
      <vt:variant>
        <vt:lpwstr/>
      </vt:variant>
      <vt:variant>
        <vt:lpwstr>_Toc370295577</vt:lpwstr>
      </vt:variant>
      <vt:variant>
        <vt:i4>1048639</vt:i4>
      </vt:variant>
      <vt:variant>
        <vt:i4>44</vt:i4>
      </vt:variant>
      <vt:variant>
        <vt:i4>0</vt:i4>
      </vt:variant>
      <vt:variant>
        <vt:i4>5</vt:i4>
      </vt:variant>
      <vt:variant>
        <vt:lpwstr/>
      </vt:variant>
      <vt:variant>
        <vt:lpwstr>_Toc370295576</vt:lpwstr>
      </vt:variant>
      <vt:variant>
        <vt:i4>1048639</vt:i4>
      </vt:variant>
      <vt:variant>
        <vt:i4>38</vt:i4>
      </vt:variant>
      <vt:variant>
        <vt:i4>0</vt:i4>
      </vt:variant>
      <vt:variant>
        <vt:i4>5</vt:i4>
      </vt:variant>
      <vt:variant>
        <vt:lpwstr/>
      </vt:variant>
      <vt:variant>
        <vt:lpwstr>_Toc370295575</vt:lpwstr>
      </vt:variant>
      <vt:variant>
        <vt:i4>1048639</vt:i4>
      </vt:variant>
      <vt:variant>
        <vt:i4>32</vt:i4>
      </vt:variant>
      <vt:variant>
        <vt:i4>0</vt:i4>
      </vt:variant>
      <vt:variant>
        <vt:i4>5</vt:i4>
      </vt:variant>
      <vt:variant>
        <vt:lpwstr/>
      </vt:variant>
      <vt:variant>
        <vt:lpwstr>_Toc370295574</vt:lpwstr>
      </vt:variant>
      <vt:variant>
        <vt:i4>1048639</vt:i4>
      </vt:variant>
      <vt:variant>
        <vt:i4>26</vt:i4>
      </vt:variant>
      <vt:variant>
        <vt:i4>0</vt:i4>
      </vt:variant>
      <vt:variant>
        <vt:i4>5</vt:i4>
      </vt:variant>
      <vt:variant>
        <vt:lpwstr/>
      </vt:variant>
      <vt:variant>
        <vt:lpwstr>_Toc370295573</vt:lpwstr>
      </vt:variant>
      <vt:variant>
        <vt:i4>1048639</vt:i4>
      </vt:variant>
      <vt:variant>
        <vt:i4>20</vt:i4>
      </vt:variant>
      <vt:variant>
        <vt:i4>0</vt:i4>
      </vt:variant>
      <vt:variant>
        <vt:i4>5</vt:i4>
      </vt:variant>
      <vt:variant>
        <vt:lpwstr/>
      </vt:variant>
      <vt:variant>
        <vt:lpwstr>_Toc370295572</vt:lpwstr>
      </vt:variant>
      <vt:variant>
        <vt:i4>1048639</vt:i4>
      </vt:variant>
      <vt:variant>
        <vt:i4>14</vt:i4>
      </vt:variant>
      <vt:variant>
        <vt:i4>0</vt:i4>
      </vt:variant>
      <vt:variant>
        <vt:i4>5</vt:i4>
      </vt:variant>
      <vt:variant>
        <vt:lpwstr/>
      </vt:variant>
      <vt:variant>
        <vt:lpwstr>_Toc370295571</vt:lpwstr>
      </vt:variant>
      <vt:variant>
        <vt:i4>1048639</vt:i4>
      </vt:variant>
      <vt:variant>
        <vt:i4>8</vt:i4>
      </vt:variant>
      <vt:variant>
        <vt:i4>0</vt:i4>
      </vt:variant>
      <vt:variant>
        <vt:i4>5</vt:i4>
      </vt:variant>
      <vt:variant>
        <vt:lpwstr/>
      </vt:variant>
      <vt:variant>
        <vt:lpwstr>_Toc370295570</vt:lpwstr>
      </vt:variant>
      <vt:variant>
        <vt:i4>1114175</vt:i4>
      </vt:variant>
      <vt:variant>
        <vt:i4>2</vt:i4>
      </vt:variant>
      <vt:variant>
        <vt:i4>0</vt:i4>
      </vt:variant>
      <vt:variant>
        <vt:i4>5</vt:i4>
      </vt:variant>
      <vt:variant>
        <vt:lpwstr/>
      </vt:variant>
      <vt:variant>
        <vt:lpwstr>_Toc370295569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KULIKOVA Irina V.</dc:creator>
  <cp:lastModifiedBy>Глазырин Александр Петрович</cp:lastModifiedBy>
  <cp:revision>2</cp:revision>
  <cp:lastPrinted>2013-10-23T06:34:00Z</cp:lastPrinted>
  <dcterms:created xsi:type="dcterms:W3CDTF">2016-03-18T10:25:00Z</dcterms:created>
  <dcterms:modified xsi:type="dcterms:W3CDTF">2016-03-18T10:25:00Z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0900000282061c6b</vt:lpwstr>
  </property>
  <property fmtid="{D5CDD505-2E9C-101B-9397-08002B2CF9AE}" pid="3" name="CustomServerURL">
    <vt:lpwstr>http://asud.interrao.ru:7778/sedir/doc-upload</vt:lpwstr>
  </property>
  <property fmtid="{D5CDD505-2E9C-101B-9397-08002B2CF9AE}" pid="4" name="CustomUserId">
    <vt:lpwstr>Akilin_PE</vt:lpwstr>
  </property>
  <property fmtid="{D5CDD505-2E9C-101B-9397-08002B2CF9AE}" pid="5" name="CustomObjectState">
    <vt:lpwstr>1753129323</vt:lpwstr>
  </property>
  <property fmtid="{D5CDD505-2E9C-101B-9397-08002B2CF9AE}" pid="6" name="magic_key">
    <vt:lpwstr>HOST-1262.sedelnikova_li.Windows NT.76456-642-5996866-23292..10.192.1.50.127.0.0.1.C:\DOCUME~1\SEDELN~1\LOCALS~1\Temp\AsudCheckout\0900000282061c6b\МЕТОДИКА_финэкспертиза_АСУД.doc</vt:lpwstr>
  </property>
  <property fmtid="{D5CDD505-2E9C-101B-9397-08002B2CF9AE}" pid="7" name="CustomOwnerUserId">
    <vt:lpwstr>Rovnykh_SA</vt:lpwstr>
  </property>
</Properties>
</file>